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3150B">
      <w:pPr>
        <w:spacing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D1B2627">
      <w:pPr>
        <w:spacing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1733550</wp:posOffset>
                </wp:positionH>
                <wp:positionV relativeFrom="paragraph">
                  <wp:posOffset>9525</wp:posOffset>
                </wp:positionV>
                <wp:extent cx="3362325" cy="1104900"/>
                <wp:wrapNone/>
                <wp:docPr id="1" name="Tekstni okvir 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Dječji vrtić „Latica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Garčin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“</w:t>
                            </w:r>
                          </w:p>
                          <w:p>
                            <w:pPr>
                              <w:pBdr/>
                              <w:spacing w:after="0"/>
                              <w:jc w:val="center"/>
                              <w:rPr>
                                <w:rStyle w:val="Hipervez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Surevice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4,  35 212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Garčin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Hipervez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dv@latica-garcin.hr</w:t>
                            </w:r>
                          </w:p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tT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type="#_x0000_t202" style="position:absolute;margin-left:136.5pt;margin-top:0.75pt;width:264.75pt;height:87pt;z-index:251659264;mso-position-horizontal-relative:margin;v-text-anchor:top;mso-wrap-distance-left:9pt;mso-wrap-distance-top:0pt;mso-wrap-distance-right:9pt;mso-wrap-distance-bottom:0pt;mso-wrap-style:square;position:absolute;left:0;text-align:left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Dječji vrtić „Latica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Garčin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“</w:t>
                      </w:r>
                    </w:p>
                    <w:p>
                      <w:pPr>
                        <w:pBdr/>
                        <w:spacing w:after="0"/>
                        <w:jc w:val="center"/>
                        <w:rPr>
                          <w:rStyle w:val="Hiperveza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Put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Surevice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4,  35 212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Garčin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Hiperveza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dv@latica-garcin.hr</w:t>
                      </w:r>
                    </w:p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lang w:eastAsia="hr-HR"/>
          <w14:ligatures w14:val="none"/>
        </w:rPr>
        <w:drawing>
          <wp:inline>
            <wp:extent cx="1228725" cy="1236039"/>
            <wp:effectExtent xmlns:wp="http://schemas.openxmlformats.org/drawingml/2006/wordprocessingDrawing" l="0" t="0" r="0" b="2540"/>
            <wp:docPr id="2" descr="Slika na kojoj se prikazuje cvijet, crtić&#10;&#10;Sadržaj generiran umjetnom inteligencijom može biti netočan.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>
        <w:trPr/>
        <w:tc>
          <w:tcPr>
            <w:tcW w:type="dxa" w:w="6521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</w:t>
            </w:r>
            <w:r>
              <w:rPr>
                <w:rFonts w:ascii="Times New Roman" w:hAnsi="Times New Roman" w:cs="Times New Roman"/>
              </w:rPr>
              <w:t xml:space="preserve">, 20.10.2025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type="dxa" w:w="2693"/>
            <w:tcBorders/>
          </w:tcPr>
          <w:p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E978F">
      <w:pPr>
        <w:spacing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Temeljem članka 26. Zakona o predškolskom odgoju i obrazovanju (Narodne novine, broj</w:t>
      </w:r>
      <w:r>
        <w:rPr>
          <w:rFonts w:ascii="Times New Roman" w:hAnsi="Times New Roman" w:eastAsia="Times New Roman" w:cs="Times New Roman"/>
          <w:color w:val="333333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10/97,</w:t>
      </w:r>
      <w:r>
        <w:rPr>
          <w:rFonts w:ascii="Times New Roman" w:hAnsi="Times New Roman" w:eastAsia="Times New Roman" w:cs="Times New Roman"/>
          <w:color w:val="333333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107/07</w:t>
      </w:r>
      <w:r>
        <w:rPr>
          <w:rFonts w:ascii="Times New Roman" w:hAnsi="Times New Roman" w:eastAsia="Times New Roman" w:cs="Times New Roman"/>
          <w:color w:val="333333"/>
          <w:spacing w:val="-1"/>
          <w:kern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333333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94/13,</w:t>
      </w:r>
      <w:r>
        <w:rPr>
          <w:rFonts w:ascii="Times New Roman" w:hAnsi="Times New Roman" w:eastAsia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98/19,</w:t>
      </w:r>
      <w:r>
        <w:rPr>
          <w:rFonts w:ascii="Times New Roman" w:hAnsi="Times New Roman" w:eastAsia="Times New Roman" w:cs="Times New Roman"/>
          <w:color w:val="333333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57/22 i</w:t>
      </w:r>
      <w:r>
        <w:rPr>
          <w:rFonts w:ascii="Times New Roman" w:hAnsi="Times New Roman" w:eastAsia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101/23),</w:t>
      </w:r>
      <w:r>
        <w:rPr>
          <w:rFonts w:ascii="Times New Roman" w:hAnsi="Times New Roman" w:eastAsia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Dječji</w:t>
      </w:r>
      <w:r>
        <w:rPr>
          <w:rFonts w:ascii="Times New Roman" w:hAnsi="Times New Roman" w:eastAsia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vrtić</w:t>
      </w:r>
      <w:r>
        <w:rPr>
          <w:rFonts w:ascii="Times New Roman" w:hAnsi="Times New Roman" w:eastAsia="Times New Roman" w:cs="Times New Roman"/>
          <w:color w:val="333333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„Latica</w:t>
      </w:r>
      <w:r>
        <w:rPr>
          <w:rFonts w:ascii="Times New Roman" w:hAnsi="Times New Roman" w:eastAsia="Times New Roman" w:cs="Times New Roman"/>
          <w:color w:val="333333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Garčin“</w:t>
      </w:r>
      <w:r>
        <w:rPr>
          <w:rFonts w:ascii="Times New Roman" w:hAnsi="Times New Roman" w:eastAsia="Times New Roman" w:cs="Times New Roman"/>
          <w:color w:val="333333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po</w:t>
      </w:r>
      <w:r>
        <w:rPr>
          <w:rFonts w:ascii="Times New Roman" w:hAnsi="Times New Roman" w:eastAsia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odluci</w:t>
      </w:r>
      <w:r>
        <w:rPr>
          <w:rFonts w:ascii="Times New Roman" w:hAnsi="Times New Roman" w:eastAsia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Upravnog</w:t>
      </w:r>
      <w:r>
        <w:rPr>
          <w:rFonts w:ascii="Times New Roman" w:hAnsi="Times New Roman" w:eastAsia="Times New Roman" w:cs="Times New Roman"/>
          <w:color w:val="333333"/>
          <w:spacing w:val="-5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vijeća Dječjeg vrtića</w:t>
      </w:r>
      <w:r>
        <w:rPr>
          <w:rFonts w:ascii="Times New Roman" w:hAnsi="Times New Roman" w:eastAsia="Times New Roman" w:cs="Times New Roman"/>
          <w:color w:val="333333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„Latica 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Garčin</w:t>
      </w:r>
      <w:r>
        <w:rPr>
          <w:rFonts w:ascii="Times New Roman" w:hAnsi="Times New Roman" w:eastAsia="Times New Roman" w:cs="Times New Roman"/>
          <w:color w:val="333333"/>
          <w:kern w:val="0"/>
          <w14:ligatures w14:val="none"/>
        </w:rPr>
        <w:t xml:space="preserve">“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d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onesenoj na 3. sjednici održanoj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2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2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.0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9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.2025. godine </w:t>
      </w:r>
      <w:r>
        <w:rPr>
          <w:rFonts w:ascii="Times New Roman" w:hAnsi="Times New Roman" w:eastAsia="Times New Roman" w:cs="Times New Roman"/>
          <w:color w:val="333333"/>
          <w:kern w:val="0"/>
          <w:lang w:eastAsia="hr-HR"/>
          <w14:ligatures w14:val="none"/>
        </w:rPr>
        <w:t xml:space="preserve">(KLASA: 601-02/25-06/9, UR.BROJ: 2178-6-2-25-1) , objavljuje:</w:t>
      </w:r>
    </w:p>
    <w:p w14:paraId="7DB5B32C">
      <w:pPr>
        <w:keepNext/>
        <w:keepLines/>
        <w:spacing w:before="159" w:after="80" w:line="268" w:lineRule="auto"/>
        <w:ind w:left="1602" w:right="1620" w:hanging="10"/>
        <w:jc w:val="center"/>
        <w:outlineLvl w:val="0"/>
        <w:rPr>
          <w:rFonts w:ascii="Times New Roman" w:hAnsi="Times New Roman" w:eastAsiaTheme="majorEastAsia" w:cs="Times New Roman"/>
          <w:b/>
          <w:bCs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eastAsiaTheme="majorEastAsia" w:cs="Times New Roman"/>
          <w:b/>
          <w:bCs/>
          <w:color w:val="000000"/>
          <w:kern w:val="0"/>
          <w:lang w:eastAsia="hr-HR"/>
          <w14:ligatures w14:val="none"/>
        </w:rPr>
        <w:t xml:space="preserve">NATJEČAJ</w:t>
      </w:r>
    </w:p>
    <w:p w14:paraId="7761C416">
      <w:pPr>
        <w:keepNext/>
        <w:keepLines/>
        <w:spacing w:before="159" w:after="80" w:line="268" w:lineRule="auto"/>
        <w:ind w:left="1602" w:right="1620" w:hanging="10"/>
        <w:jc w:val="center"/>
        <w:outlineLvl w:val="0"/>
        <w:rPr>
          <w:rFonts w:ascii="Times New Roman" w:hAnsi="Times New Roman" w:eastAsiaTheme="majorEastAsia" w:cs="Times New Roman"/>
          <w:b/>
          <w:bCs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kern w:val="0"/>
          <w:lang w:eastAsia="hr-HR"/>
          <w14:ligatures w14:val="none"/>
        </w:rPr>
        <w:t xml:space="preserve">za prijam u radni odnos na određeno nepuno radno </w:t>
      </w:r>
      <w:r>
        <w:rPr>
          <w:rFonts w:ascii="Times New Roman" w:hAnsi="Times New Roman" w:eastAsia="Calibri" w:cs="Times New Roman"/>
          <w:b/>
          <w:color w:val="000000"/>
          <w:kern w:val="0"/>
          <w:lang w:eastAsia="hr-HR"/>
          <w14:ligatures w14:val="none"/>
        </w:rPr>
        <w:t xml:space="preserve">                        </w:t>
      </w:r>
      <w:r>
        <w:rPr>
          <w:rFonts w:ascii="Times New Roman" w:hAnsi="Times New Roman" w:eastAsia="Calibri" w:cs="Times New Roman"/>
          <w:b/>
          <w:color w:val="000000"/>
          <w:kern w:val="0"/>
          <w:lang w:eastAsia="hr-HR"/>
          <w14:ligatures w14:val="none"/>
        </w:rPr>
        <w:t xml:space="preserve">vrijeme </w:t>
      </w:r>
      <w:r>
        <w:rPr>
          <w:rFonts w:ascii="Times New Roman" w:hAnsi="Times New Roman" w:eastAsia="Calibri" w:cs="Times New Roman"/>
          <w:b/>
          <w:color w:val="000000"/>
          <w:spacing w:val="-57"/>
          <w:kern w:val="0"/>
          <w:lang w:eastAsia="hr-HR"/>
          <w14:ligatures w14:val="none"/>
        </w:rPr>
        <w:t xml:space="preserve">  </w:t>
      </w:r>
      <w:r>
        <w:rPr>
          <w:rFonts w:ascii="Times New Roman" w:hAnsi="Times New Roman" w:eastAsia="Calibri" w:cs="Times New Roman"/>
          <w:b/>
          <w:color w:val="000000"/>
          <w:kern w:val="0"/>
          <w:lang w:eastAsia="hr-HR"/>
          <w14:ligatures w14:val="none"/>
        </w:rPr>
        <w:t xml:space="preserve">za</w:t>
      </w:r>
      <w:r>
        <w:rPr>
          <w:rFonts w:ascii="Times New Roman" w:hAnsi="Times New Roman" w:eastAsia="Calibri" w:cs="Times New Roman"/>
          <w:b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kern w:val="0"/>
          <w:lang w:eastAsia="hr-HR"/>
          <w14:ligatures w14:val="none"/>
        </w:rPr>
        <w:t xml:space="preserve">radno</w:t>
      </w:r>
      <w:r>
        <w:rPr>
          <w:rFonts w:ascii="Times New Roman" w:hAnsi="Times New Roman" w:eastAsia="Calibri" w:cs="Times New Roman"/>
          <w:b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kern w:val="0"/>
          <w:lang w:eastAsia="hr-HR"/>
          <w14:ligatures w14:val="none"/>
        </w:rPr>
        <w:t xml:space="preserve">mjesto pomoćni djelatnik za njegu, skrb i pratnju</w:t>
      </w:r>
    </w:p>
    <w:p w14:paraId="7CAC89C8">
      <w:pPr>
        <w:widowControl w:val="false"/>
        <w:autoSpaceDE w:val="false"/>
        <w:autoSpaceDN w:val="false"/>
        <w:spacing w:before="6" w:after="0" w:line="240" w:lineRule="auto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022EBF5C">
      <w:pPr>
        <w:spacing w:after="120" w:line="240" w:lineRule="auto"/>
        <w:ind w:left="10" w:hanging="10"/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Broj</w:t>
      </w:r>
      <w:r>
        <w:rPr>
          <w:rFonts w:asciiTheme="majorBidi" w:hAnsiTheme="majorBidi" w:eastAsia="Calibri" w:cstheme="majorBidi"/>
          <w:b/>
          <w:bCs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traženih</w:t>
      </w:r>
      <w:r>
        <w:rPr>
          <w:rFonts w:asciiTheme="majorBidi" w:hAnsiTheme="majorBidi" w:eastAsia="Calibri" w:cstheme="majorBidi"/>
          <w:b/>
          <w:bCs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radnika:</w:t>
      </w:r>
      <w:r>
        <w:rPr>
          <w:rFonts w:asciiTheme="majorBidi" w:hAnsiTheme="majorBidi" w:eastAsia="Calibri" w:cstheme="majorBidi"/>
          <w:color w:val="000000"/>
          <w:spacing w:val="-4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1</w:t>
      </w:r>
    </w:p>
    <w:p w14:paraId="566FF015">
      <w:pPr>
        <w:spacing w:after="120" w:line="240" w:lineRule="auto"/>
        <w:ind w:left="10" w:hanging="10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Radno vrijeme: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nepuno određeno, a najduže do 31.srpnja, 2026.g.</w:t>
      </w:r>
    </w:p>
    <w:p w14:paraId="61FB95D8">
      <w:pPr>
        <w:spacing w:after="120" w:line="240" w:lineRule="auto"/>
        <w:ind w:left="10" w:hanging="10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Način rada: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1 smjena</w:t>
      </w:r>
    </w:p>
    <w:p w14:paraId="0BB06F31">
      <w:pPr>
        <w:spacing w:after="120" w:line="240" w:lineRule="auto"/>
        <w:ind w:left="10" w:hanging="10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Smještaj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: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Nema smještaja</w:t>
      </w:r>
    </w:p>
    <w:p w14:paraId="0AA6579D">
      <w:pPr>
        <w:spacing w:after="120" w:line="240" w:lineRule="auto"/>
        <w:ind w:left="10" w:hanging="10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Naknada</w:t>
      </w:r>
      <w:r>
        <w:rPr>
          <w:rFonts w:asciiTheme="majorBidi" w:hAnsiTheme="majorBidi" w:eastAsia="Calibri" w:cstheme="majorBidi"/>
          <w:b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za</w:t>
      </w:r>
      <w:r>
        <w:rPr>
          <w:rFonts w:asciiTheme="majorBidi" w:hAnsiTheme="majorBidi" w:eastAsia="Calibri" w:cstheme="majorBidi"/>
          <w:b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prijevoz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: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U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cijelosti</w:t>
      </w:r>
    </w:p>
    <w:p w14:paraId="698D2D59">
      <w:pPr>
        <w:spacing w:after="120" w:line="240" w:lineRule="auto"/>
        <w:ind w:left="10" w:hanging="10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Probni rok: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 1 mjesec</w:t>
      </w:r>
    </w:p>
    <w:p w14:paraId="6811A8F0">
      <w:pPr>
        <w:keepNext/>
        <w:keepLines/>
        <w:spacing w:before="360" w:after="80" w:line="360" w:lineRule="auto"/>
        <w:outlineLvl w:val="0"/>
        <w:rPr>
          <w:rFonts w:asciiTheme="majorBidi" w:hAnsiTheme="majorBidi" w:eastAsiaTheme="majorEastAsia" w:cstheme="majorBidi"/>
          <w:b/>
          <w:bCs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Theme="majorEastAsia" w:cstheme="majorBidi"/>
          <w:b/>
          <w:bCs/>
          <w:color w:val="000000"/>
          <w:kern w:val="0"/>
          <w:lang w:eastAsia="hr-HR"/>
          <w14:ligatures w14:val="none"/>
        </w:rPr>
        <w:t xml:space="preserve">Uvjeti</w:t>
      </w:r>
      <w:r>
        <w:rPr>
          <w:rFonts w:asciiTheme="majorBidi" w:hAnsiTheme="majorBidi" w:eastAsiaTheme="majorEastAsia" w:cstheme="majorBidi"/>
          <w:b/>
          <w:bCs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Theme="majorEastAsia" w:cstheme="majorBidi"/>
          <w:b/>
          <w:bCs/>
          <w:color w:val="000000"/>
          <w:kern w:val="0"/>
          <w:lang w:eastAsia="hr-HR"/>
          <w14:ligatures w14:val="none"/>
        </w:rPr>
        <w:t xml:space="preserve">za</w:t>
      </w:r>
      <w:r>
        <w:rPr>
          <w:rFonts w:asciiTheme="majorBidi" w:hAnsiTheme="majorBidi" w:eastAsiaTheme="majorEastAsia" w:cstheme="majorBidi"/>
          <w:b/>
          <w:bCs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Theme="majorEastAsia" w:cstheme="majorBidi"/>
          <w:b/>
          <w:bCs/>
          <w:color w:val="000000"/>
          <w:kern w:val="0"/>
          <w:lang w:eastAsia="hr-HR"/>
          <w14:ligatures w14:val="none"/>
        </w:rPr>
        <w:t xml:space="preserve">prijam u radni</w:t>
      </w:r>
      <w:r>
        <w:rPr>
          <w:rFonts w:asciiTheme="majorBidi" w:hAnsiTheme="majorBidi" w:eastAsiaTheme="majorEastAsia" w:cstheme="majorBidi"/>
          <w:b/>
          <w:bCs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Theme="majorEastAsia" w:cstheme="majorBidi"/>
          <w:b/>
          <w:bCs/>
          <w:color w:val="000000"/>
          <w:kern w:val="0"/>
          <w:lang w:eastAsia="hr-HR"/>
          <w14:ligatures w14:val="none"/>
        </w:rPr>
        <w:t xml:space="preserve">odnos:</w:t>
      </w:r>
    </w:p>
    <w:p w14:paraId="1D9F22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hAnsi="Segoe UI" w:eastAsia="Times New Roman" w:cs="Segoe UI"/>
          <w:color w:val="12101C"/>
          <w:kern w:val="0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231F20"/>
          <w:kern w:val="0"/>
          <w:sz w:val="22"/>
          <w:szCs w:val="22"/>
          <w:shd w:val="clear" w:color="auto" w:fill="FFFFFF"/>
          <w:lang w:eastAsia="hr-HR"/>
          <w14:ligatures w14:val="none"/>
        </w:rPr>
        <w:t xml:space="preserve"> kvalifikacija razine 4.1 stečena završetkom strukovnog obrazovanja u trajanju od tri godine</w:t>
      </w:r>
      <w:r>
        <w:rPr>
          <w:rFonts w:ascii="Calibri" w:hAnsi="Calibri" w:eastAsia="Calibri" w:cs="Calibri"/>
          <w:color w:val="231F20"/>
          <w:kern w:val="0"/>
          <w:szCs w:val="22"/>
          <w:shd w:val="clear" w:color="auto" w:fill="FFFFFF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="Calibri"/>
          <w:color w:val="000000"/>
          <w:kern w:val="0"/>
          <w:lang w:eastAsia="hr-HR"/>
          <w14:ligatures w14:val="none"/>
        </w:rPr>
        <w:t xml:space="preserve">u skladu s Pravilnikom o vrsti stručne spreme stručnih djelatnika te vrsti i stupnju stručne spreme ostalih djelatnika u dječjem vrtiću (133/97)</w:t>
      </w:r>
      <w:r>
        <w:rPr>
          <w:rFonts w:ascii="Segoe UI" w:hAnsi="Segoe UI" w:eastAsia="Times New Roman" w:cs="Segoe UI"/>
          <w:color w:val="12101C"/>
          <w:kern w:val="0"/>
          <w:lang w:eastAsia="hr-HR"/>
          <w14:ligatures w14:val="none"/>
        </w:rPr>
        <w:t xml:space="preserve"> </w:t>
      </w:r>
    </w:p>
    <w:p w14:paraId="27581F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hAnsi="Segoe UI" w:eastAsia="Times New Roman" w:cs="Segoe UI"/>
          <w:color w:val="12101C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12101C"/>
          <w:kern w:val="0"/>
          <w:lang w:eastAsia="hr-HR"/>
          <w14:ligatures w14:val="none"/>
        </w:rPr>
        <w:t xml:space="preserve">koja nije roditelj niti drugi član uže obitelji djeteta kojem se pruža potpora</w:t>
      </w:r>
    </w:p>
    <w:p w14:paraId="7ABAB412">
      <w:pPr>
        <w:widowControl w:val="false"/>
        <w:autoSpaceDE w:val="false"/>
        <w:autoSpaceDN w:val="false"/>
        <w:spacing w:before="9" w:after="0" w:line="240" w:lineRule="auto"/>
        <w:jc w:val="both"/>
        <w:rPr>
          <w:rFonts w:asciiTheme="majorBidi" w:hAnsiTheme="majorBidi" w:eastAsia="Times New Roman" w:cstheme="majorBidi"/>
          <w:b/>
          <w:kern w:val="0"/>
          <w14:ligatures w14:val="none"/>
        </w:rPr>
      </w:pPr>
    </w:p>
    <w:p w14:paraId="679B1311">
      <w:pPr>
        <w:widowControl w:val="false"/>
        <w:autoSpaceDE w:val="false"/>
        <w:autoSpaceDN w:val="false"/>
        <w:spacing w:after="0" w:line="360" w:lineRule="auto"/>
        <w:ind w:left="100"/>
        <w:jc w:val="both"/>
        <w:rPr>
          <w:rFonts w:asciiTheme="majorBidi" w:hAnsiTheme="majorBidi" w:eastAsia="Times New Roman" w:cstheme="majorBidi"/>
          <w:kern w:val="0"/>
          <w14:ligatures w14:val="none"/>
        </w:rPr>
      </w:pPr>
      <w:r>
        <w:rPr>
          <w:rFonts w:asciiTheme="majorBidi" w:hAnsiTheme="majorBidi" w:eastAsia="Times New Roman" w:cstheme="majorBidi"/>
          <w:b/>
          <w:bCs/>
          <w:kern w:val="0"/>
          <w14:ligatures w14:val="none"/>
        </w:rPr>
        <w:t xml:space="preserve">Prijava</w:t>
      </w:r>
      <w:r>
        <w:rPr>
          <w:rFonts w:asciiTheme="majorBidi" w:hAnsiTheme="majorBidi" w:eastAsia="Times New Roman" w:cstheme="majorBidi"/>
          <w:b/>
          <w:bCs/>
          <w:spacing w:val="-3"/>
          <w:kern w:val="0"/>
          <w14:ligatures w14:val="none"/>
        </w:rPr>
        <w:t xml:space="preserve"> </w:t>
      </w:r>
      <w:r>
        <w:rPr>
          <w:rFonts w:asciiTheme="majorBidi" w:hAnsiTheme="majorBidi" w:eastAsia="Times New Roman" w:cstheme="majorBidi"/>
          <w:b/>
          <w:bCs/>
          <w:kern w:val="0"/>
          <w14:ligatures w14:val="none"/>
        </w:rPr>
        <w:t xml:space="preserve">na</w:t>
      </w:r>
      <w:r>
        <w:rPr>
          <w:rFonts w:asciiTheme="majorBidi" w:hAnsiTheme="majorBidi" w:eastAsia="Times New Roman" w:cstheme="majorBidi"/>
          <w:b/>
          <w:bCs/>
          <w:spacing w:val="-3"/>
          <w:kern w:val="0"/>
          <w14:ligatures w14:val="none"/>
        </w:rPr>
        <w:t xml:space="preserve"> </w:t>
      </w:r>
      <w:r>
        <w:rPr>
          <w:rFonts w:asciiTheme="majorBidi" w:hAnsiTheme="majorBidi" w:eastAsia="Times New Roman" w:cstheme="majorBidi"/>
          <w:b/>
          <w:bCs/>
          <w:kern w:val="0"/>
          <w14:ligatures w14:val="none"/>
        </w:rPr>
        <w:t xml:space="preserve">natječaj</w:t>
      </w:r>
      <w:r>
        <w:rPr>
          <w:rFonts w:asciiTheme="majorBidi" w:hAnsiTheme="majorBidi" w:eastAsia="Times New Roman" w:cstheme="majorBidi"/>
          <w:spacing w:val="-2"/>
          <w:kern w:val="0"/>
          <w14:ligatures w14:val="none"/>
        </w:rPr>
        <w:t xml:space="preserve"> </w:t>
      </w:r>
      <w:r>
        <w:rPr>
          <w:rFonts w:asciiTheme="majorBidi" w:hAnsiTheme="majorBidi" w:eastAsia="Times New Roman" w:cstheme="majorBidi"/>
          <w:kern w:val="0"/>
          <w14:ligatures w14:val="none"/>
        </w:rPr>
        <w:t xml:space="preserve">(vlastoručno</w:t>
      </w:r>
      <w:r>
        <w:rPr>
          <w:rFonts w:asciiTheme="majorBidi" w:hAnsiTheme="majorBidi" w:eastAsia="Times New Roman" w:cstheme="majorBidi"/>
          <w:spacing w:val="-2"/>
          <w:kern w:val="0"/>
          <w14:ligatures w14:val="none"/>
        </w:rPr>
        <w:t xml:space="preserve"> </w:t>
      </w:r>
      <w:r>
        <w:rPr>
          <w:rFonts w:asciiTheme="majorBidi" w:hAnsiTheme="majorBidi" w:eastAsia="Times New Roman" w:cstheme="majorBidi"/>
          <w:kern w:val="0"/>
          <w14:ligatures w14:val="none"/>
        </w:rPr>
        <w:t xml:space="preserve">potpisana),</w:t>
      </w:r>
      <w:r>
        <w:rPr>
          <w:rFonts w:asciiTheme="majorBidi" w:hAnsiTheme="majorBidi" w:eastAsia="Times New Roman" w:cstheme="majorBidi"/>
          <w:spacing w:val="-2"/>
          <w:kern w:val="0"/>
          <w14:ligatures w14:val="none"/>
        </w:rPr>
        <w:t xml:space="preserve"> </w:t>
      </w:r>
      <w:r>
        <w:rPr>
          <w:rFonts w:asciiTheme="majorBidi" w:hAnsiTheme="majorBidi" w:eastAsia="Times New Roman" w:cstheme="majorBidi"/>
          <w:kern w:val="0"/>
          <w14:ligatures w14:val="none"/>
        </w:rPr>
        <w:t xml:space="preserve">sadrži sljedeće</w:t>
      </w:r>
      <w:r>
        <w:rPr>
          <w:rFonts w:asciiTheme="majorBidi" w:hAnsiTheme="majorBidi" w:eastAsia="Times New Roman" w:cstheme="majorBidi"/>
          <w:spacing w:val="-3"/>
          <w:kern w:val="0"/>
          <w14:ligatures w14:val="none"/>
        </w:rPr>
        <w:t xml:space="preserve"> </w:t>
      </w:r>
      <w:r>
        <w:rPr>
          <w:rFonts w:asciiTheme="majorBidi" w:hAnsiTheme="majorBidi" w:eastAsia="Times New Roman" w:cstheme="majorBidi"/>
          <w:kern w:val="0"/>
          <w14:ligatures w14:val="none"/>
        </w:rPr>
        <w:t xml:space="preserve">priloge:</w:t>
      </w:r>
    </w:p>
    <w:p w14:paraId="43376F2F">
      <w:pPr>
        <w:widowControl w:val="false"/>
        <w:numPr>
          <w:ilvl w:val="0"/>
          <w:numId w:val="3"/>
        </w:numPr>
        <w:tabs>
          <w:tab w:val="left" w:pos="821"/>
        </w:tabs>
        <w:autoSpaceDE w:val="false"/>
        <w:autoSpaceDN w:val="false"/>
        <w:spacing w:after="0" w:line="240" w:lineRule="auto"/>
        <w:ind w:hanging="361"/>
        <w:jc w:val="both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životopis</w:t>
      </w:r>
      <w:r>
        <w:rPr>
          <w:rFonts w:asciiTheme="majorBidi" w:hAnsiTheme="majorBidi" w:eastAsia="Calibri" w:cstheme="majorBidi"/>
          <w:color w:val="000000"/>
          <w:spacing w:val="-3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(vlastoručno</w:t>
      </w:r>
      <w:r>
        <w:rPr>
          <w:rFonts w:asciiTheme="majorBidi" w:hAnsiTheme="majorBidi" w:eastAsia="Calibri" w:cstheme="majorBidi"/>
          <w:color w:val="000000"/>
          <w:spacing w:val="-3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potpisan)</w:t>
      </w:r>
    </w:p>
    <w:p w14:paraId="40B12927">
      <w:pPr>
        <w:widowControl w:val="false"/>
        <w:numPr>
          <w:ilvl w:val="0"/>
          <w:numId w:val="3"/>
        </w:numPr>
        <w:tabs>
          <w:tab w:val="left" w:pos="820"/>
          <w:tab w:val="left" w:pos="821"/>
        </w:tabs>
        <w:autoSpaceDE w:val="false"/>
        <w:autoSpaceDN w:val="false"/>
        <w:spacing w:before="140" w:after="0" w:line="240" w:lineRule="auto"/>
        <w:ind w:hanging="361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dokaz</w:t>
      </w:r>
      <w:r>
        <w:rPr>
          <w:rFonts w:asciiTheme="majorBidi" w:hAnsiTheme="majorBidi" w:eastAsia="Calibri" w:cstheme="majorBidi"/>
          <w:b/>
          <w:bCs/>
          <w:color w:val="000000"/>
          <w:spacing w:val="-3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o</w:t>
      </w:r>
      <w:r>
        <w:rPr>
          <w:rFonts w:asciiTheme="majorBidi" w:hAnsiTheme="majorBidi" w:eastAsia="Calibri" w:cstheme="majorBidi"/>
          <w:b/>
          <w:bCs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stečenoj</w:t>
      </w:r>
      <w:r>
        <w:rPr>
          <w:rFonts w:asciiTheme="majorBidi" w:hAnsiTheme="majorBidi" w:eastAsia="Calibri" w:cstheme="majorBidi"/>
          <w:b/>
          <w:bCs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stručnoj spremi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 (preslika svjedodžbe)</w:t>
      </w:r>
    </w:p>
    <w:p w14:paraId="67849728">
      <w:pPr>
        <w:widowControl w:val="false"/>
        <w:numPr>
          <w:ilvl w:val="0"/>
          <w:numId w:val="3"/>
        </w:numPr>
        <w:tabs>
          <w:tab w:val="left" w:pos="820"/>
          <w:tab w:val="left" w:pos="821"/>
        </w:tabs>
        <w:autoSpaceDE w:val="false"/>
        <w:autoSpaceDN w:val="false"/>
        <w:spacing w:before="140" w:after="0" w:line="240" w:lineRule="auto"/>
        <w:ind w:hanging="361"/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dokaz o državljanstvu</w:t>
      </w:r>
    </w:p>
    <w:p w14:paraId="64A7B923">
      <w:pPr>
        <w:widowControl w:val="false"/>
        <w:numPr>
          <w:ilvl w:val="0"/>
          <w:numId w:val="3"/>
        </w:numPr>
        <w:tabs>
          <w:tab w:val="left" w:pos="821"/>
        </w:tabs>
        <w:autoSpaceDE w:val="false"/>
        <w:autoSpaceDN w:val="false"/>
        <w:spacing w:before="136" w:after="0" w:line="240" w:lineRule="auto"/>
        <w:ind w:right="121"/>
        <w:jc w:val="both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dokaz</w:t>
      </w:r>
      <w:r>
        <w:rPr>
          <w:rFonts w:asciiTheme="majorBidi" w:hAnsiTheme="majorBidi" w:eastAsia="Calibri" w:cstheme="majorBidi"/>
          <w:b/>
          <w:bCs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o</w:t>
      </w:r>
      <w:r>
        <w:rPr>
          <w:rFonts w:asciiTheme="majorBidi" w:hAnsiTheme="majorBidi" w:eastAsia="Calibri" w:cstheme="majorBidi"/>
          <w:b/>
          <w:bCs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radno-pravnom</w:t>
      </w:r>
      <w:r>
        <w:rPr>
          <w:rFonts w:asciiTheme="majorBidi" w:hAnsiTheme="majorBidi" w:eastAsia="Calibri" w:cstheme="majorBidi"/>
          <w:b/>
          <w:bCs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statusu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(elektronički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zapis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podacima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evidentiranim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u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matičnoj</w:t>
      </w:r>
      <w:r>
        <w:rPr>
          <w:rFonts w:asciiTheme="majorBidi" w:hAnsiTheme="majorBidi" w:eastAsia="Calibri" w:cstheme="majorBidi"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evidenciji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Hrvatskog</w:t>
      </w:r>
      <w:r>
        <w:rPr>
          <w:rFonts w:asciiTheme="majorBidi" w:hAnsiTheme="majorBidi" w:eastAsia="Calibri" w:cstheme="majorBidi"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zavoda</w:t>
      </w:r>
      <w:r>
        <w:rPr>
          <w:rFonts w:asciiTheme="majorBidi" w:hAnsiTheme="majorBidi" w:eastAsia="Calibri" w:cstheme="majorBidi"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za</w:t>
      </w:r>
      <w:r>
        <w:rPr>
          <w:rFonts w:asciiTheme="majorBidi" w:hAnsiTheme="majorBidi" w:eastAsia="Calibri" w:cstheme="majorBidi"/>
          <w:color w:val="000000"/>
          <w:spacing w:val="-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mirovinsko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osiguranje (ne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starije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od 60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dana)</w:t>
      </w:r>
    </w:p>
    <w:p w14:paraId="11766B3B">
      <w:pPr>
        <w:widowControl w:val="false"/>
        <w:numPr>
          <w:ilvl w:val="0"/>
          <w:numId w:val="3"/>
        </w:numPr>
        <w:tabs>
          <w:tab w:val="left" w:pos="821"/>
        </w:tabs>
        <w:autoSpaceDE w:val="false"/>
        <w:autoSpaceDN w:val="false"/>
        <w:spacing w:after="0" w:line="240" w:lineRule="auto"/>
        <w:ind w:right="123"/>
        <w:jc w:val="both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b/>
          <w:bCs/>
          <w:color w:val="000000"/>
          <w:kern w:val="0"/>
          <w:lang w:eastAsia="hr-HR"/>
          <w14:ligatures w14:val="none"/>
        </w:rPr>
        <w:t xml:space="preserve">dokaz o nepostojanju zapreka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 za zasnivanje radnog odnosa sukladno čl.25. Zakona o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predškolskom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odgoju i obrazovanju</w:t>
      </w:r>
      <w:r>
        <w:rPr>
          <w:rFonts w:asciiTheme="majorBidi" w:hAnsiTheme="majorBidi" w:eastAsia="Calibri" w:cstheme="majorBidi"/>
          <w:color w:val="000000"/>
          <w:spacing w:val="2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(ne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starije od dana objave natječaja):</w:t>
      </w:r>
    </w:p>
    <w:p w14:paraId="06FC5F0C">
      <w:pPr>
        <w:widowControl w:val="false"/>
        <w:numPr>
          <w:ilvl w:val="1"/>
          <w:numId w:val="2"/>
        </w:numPr>
        <w:tabs>
          <w:tab w:val="left" w:pos="2261"/>
        </w:tabs>
        <w:autoSpaceDE w:val="false"/>
        <w:autoSpaceDN w:val="false"/>
        <w:spacing w:before="1" w:after="100" w:afterAutospacing="1" w:line="240" w:lineRule="auto"/>
        <w:ind w:right="117"/>
        <w:jc w:val="both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uvjerenje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nadležnog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suda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da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se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protiv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kandidata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ne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vodi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kazneni</w:t>
      </w:r>
      <w:r>
        <w:rPr>
          <w:rFonts w:asciiTheme="majorBidi" w:hAnsiTheme="majorBidi" w:eastAsia="Calibri" w:cstheme="majorBidi"/>
          <w:b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postupak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(čl.25.st.2.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Zakona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predškolskom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odgoju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i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obrazovanju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)</w:t>
      </w:r>
    </w:p>
    <w:p w14:paraId="1AD71412">
      <w:pPr>
        <w:widowControl w:val="false"/>
        <w:numPr>
          <w:ilvl w:val="1"/>
          <w:numId w:val="2"/>
        </w:numPr>
        <w:tabs>
          <w:tab w:val="left" w:pos="2261"/>
        </w:tabs>
        <w:autoSpaceDE w:val="false"/>
        <w:autoSpaceDN w:val="false"/>
        <w:spacing w:after="100" w:afterAutospacing="1" w:line="240" w:lineRule="auto"/>
        <w:ind w:right="115"/>
        <w:jc w:val="both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uvjerenje nadležnog suda da se protiv kandidata ne vodi </w:t>
      </w: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prekršajni</w:t>
      </w:r>
      <w:r>
        <w:rPr>
          <w:rFonts w:asciiTheme="majorBidi" w:hAnsiTheme="majorBidi" w:eastAsia="Calibri" w:cstheme="majorBidi"/>
          <w:b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postupak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(čl.25.st.4.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Zakona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predškolskom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odgoju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i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obrazovanju)</w:t>
      </w:r>
    </w:p>
    <w:p w14:paraId="4829BFAB">
      <w:pPr>
        <w:widowControl w:val="false"/>
        <w:numPr>
          <w:ilvl w:val="1"/>
          <w:numId w:val="2"/>
        </w:numPr>
        <w:tabs>
          <w:tab w:val="left" w:pos="2261"/>
        </w:tabs>
        <w:autoSpaceDE w:val="false"/>
        <w:autoSpaceDN w:val="false"/>
        <w:spacing w:after="100" w:afterAutospacing="1" w:line="240" w:lineRule="auto"/>
        <w:ind w:right="115"/>
        <w:jc w:val="both"/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</w:pP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potvrda Hrvatskog zavoda za socijalni rad da protiv kandidata </w:t>
      </w: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nisu</w:t>
      </w:r>
      <w:r>
        <w:rPr>
          <w:rFonts w:asciiTheme="majorBidi" w:hAnsiTheme="majorBidi" w:eastAsia="Calibri" w:cstheme="majorBidi"/>
          <w:b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b/>
          <w:color w:val="000000"/>
          <w:kern w:val="0"/>
          <w:lang w:eastAsia="hr-HR"/>
          <w14:ligatures w14:val="none"/>
        </w:rPr>
        <w:t xml:space="preserve">izrečene mjere za zaštitu dobrobiti djeteta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(čl. 25. st.10. Zakona o</w:t>
      </w:r>
      <w:r>
        <w:rPr>
          <w:rFonts w:asciiTheme="majorBidi" w:hAnsiTheme="majorBidi" w:eastAsia="Calibri" w:cstheme="majorBidi"/>
          <w:color w:val="000000"/>
          <w:spacing w:val="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predškolskom</w:t>
      </w:r>
      <w:r>
        <w:rPr>
          <w:rFonts w:asciiTheme="majorBidi" w:hAnsiTheme="majorBidi" w:eastAsia="Calibri" w:cstheme="majorBidi"/>
          <w:color w:val="000000"/>
          <w:spacing w:val="-1"/>
          <w:kern w:val="0"/>
          <w:lang w:eastAsia="hr-HR"/>
          <w14:ligatures w14:val="none"/>
        </w:rPr>
        <w:t xml:space="preserve"> </w:t>
      </w:r>
      <w:r>
        <w:rPr>
          <w:rFonts w:asciiTheme="majorBidi" w:hAnsiTheme="majorBidi" w:eastAsia="Calibri" w:cstheme="majorBidi"/>
          <w:color w:val="000000"/>
          <w:kern w:val="0"/>
          <w:lang w:eastAsia="hr-HR"/>
          <w14:ligatures w14:val="none"/>
        </w:rPr>
        <w:t xml:space="preserve">odgoju i obrazovanju).</w:t>
      </w:r>
    </w:p>
    <w:p w14:paraId="04AAE7C1">
      <w:pPr>
        <w:widowControl w:val="false"/>
        <w:tabs>
          <w:tab w:val="left" w:pos="821"/>
        </w:tabs>
        <w:autoSpaceDE w:val="false"/>
        <w:autoSpaceDN w:val="false"/>
        <w:spacing w:before="60" w:after="0" w:line="240" w:lineRule="auto"/>
        <w:ind w:left="820" w:right="120"/>
        <w:contextualSpacing/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Dokaz o zdravstvenoj sposobnosti za obavljanje poslova predloženi kandidati su dužni</w:t>
      </w:r>
      <w:r>
        <w:rPr>
          <w:rFonts w:ascii="Times New Roman" w:hAnsi="Times New Roman" w:eastAsia="Times New Roman" w:cs="Times New Roman"/>
          <w:color w:val="000000"/>
          <w:spacing w:val="-57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dostaviti</w:t>
      </w:r>
      <w:r>
        <w:rPr>
          <w:rFonts w:ascii="Times New Roman" w:hAnsi="Times New Roman" w:eastAsia="Times New Roman" w:cs="Times New Roman"/>
          <w:color w:val="000000"/>
          <w:spacing w:val="-1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prije potpisivanja</w:t>
      </w:r>
      <w:r>
        <w:rPr>
          <w:rFonts w:ascii="Times New Roman" w:hAnsi="Times New Roman" w:eastAsia="Times New Roman" w:cs="Times New Roman"/>
          <w:color w:val="000000"/>
          <w:spacing w:val="-1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ugovora</w:t>
      </w:r>
      <w:r>
        <w:rPr>
          <w:rFonts w:ascii="Times New Roman" w:hAnsi="Times New Roman" w:eastAsia="Times New Roman" w:cs="Times New Roman"/>
          <w:color w:val="000000"/>
          <w:spacing w:val="-1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o radu.</w:t>
      </w:r>
    </w:p>
    <w:p w14:paraId="2B89886B">
      <w:pPr>
        <w:widowControl w:val="false"/>
        <w:tabs>
          <w:tab w:val="left" w:pos="821"/>
        </w:tabs>
        <w:autoSpaceDE w:val="false"/>
        <w:autoSpaceDN w:val="false"/>
        <w:spacing w:before="60" w:after="0" w:line="360" w:lineRule="auto"/>
        <w:ind w:left="820" w:right="120"/>
        <w:contextualSpacing/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Isprave i dokazi prilažu se u neovjerenoj preslici.</w:t>
      </w:r>
    </w:p>
    <w:p w14:paraId="56433847">
      <w:pPr>
        <w:spacing w:after="211" w:line="268" w:lineRule="auto"/>
        <w:ind w:left="820"/>
        <w:contextualSpacing/>
        <w:rPr>
          <w:rFonts w:ascii="Times New Roman" w:hAnsi="Times New Roman" w:eastAsia="Aptos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Aptos" w:cs="Times New Roman"/>
          <w:color w:val="000000"/>
          <w:kern w:val="0"/>
          <w:szCs w:val="22"/>
          <w:lang w:eastAsia="hr-HR"/>
          <w14:ligatures w14:val="none"/>
        </w:rPr>
        <w:t xml:space="preserve">Dokaze u izvorniku/ovjerenoj preslici predloženi kandidat prilaže prije sklapanja ugovora o radu. Ukoliko kandidat uz prijavu priloži dokumente u kojima osobni podaci nisu istovjetni, dužan je dostaviti i dokaze o njihovoj promjeni (rodni list, vjenčani list).</w:t>
      </w:r>
    </w:p>
    <w:p w14:paraId="6BD2D99A">
      <w:pPr>
        <w:spacing w:after="211" w:line="268" w:lineRule="auto"/>
        <w:ind w:left="820"/>
        <w:contextualSpacing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</w:p>
    <w:p w14:paraId="12F2D2AC">
      <w:pPr>
        <w:spacing w:after="211" w:line="268" w:lineRule="auto"/>
        <w:ind w:left="820"/>
        <w:contextualSpacing/>
        <w:jc w:val="both"/>
        <w:rPr>
          <w:rFonts w:ascii="Times New Roman" w:hAnsi="Times New Roman" w:eastAsia="Calibri" w:cs="Times New Roman"/>
          <w:color w:val="0070C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:lang w:eastAsia="hr-HR"/>
          <w14:ligatures w14:val="none"/>
        </w:rPr>
        <w:t xml:space="preserve">Prednost pri zapošljavanju</w:t>
      </w:r>
      <w:r>
        <w:rPr>
          <w:rFonts w:ascii="Calibri" w:hAnsi="Calibri" w:eastAsia="Calibri" w:cs="Calibri"/>
          <w:color w:val="000000"/>
          <w:kern w:val="0"/>
          <w:szCs w:val="22"/>
          <w:lang w:eastAsia="hr-HR"/>
          <w14:ligatures w14:val="none"/>
        </w:rPr>
        <w:t xml:space="preserve">: 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Kandidati koji prema posebnim propisima ostvaruju pravo prednosti, moraju se u prijavi pozvati na to pravo, odnosno uz prijavu priložiti svu propisanu dokumentaciju prema posebnom zakonu te imaju prednost u odnosu na ostale kandidate samo pod jednakim uvjetima. Kandidati koji se pozivaju na pravo prednosti pri zapošljavanju u skladu s člankom 102. Zakona o hrvatskim braniteljima iz Domovinskog rata i članovima njihovih obitelji (Narodne novine 121/17, 98/19, 84/21, 156/23) uz prijavu na natječaj dužni su priložiti, pored dokaza o ispunjavanju traženih uvjeta i sve potrebne dokaze dostupne na poveznici: </w:t>
      </w:r>
      <w:r>
        <w:rPr>
          <w:rFonts w:ascii="Times New Roman" w:hAnsi="Times New Roman" w:eastAsia="Calibri" w:cs="Times New Roman"/>
          <w:color w:val="0070C0"/>
          <w:kern w:val="0"/>
          <w:szCs w:val="22"/>
          <w:lang w:eastAsia="hr-HR"/>
          <w14:ligatures w14:val="none"/>
        </w:rPr>
        <w:t xml:space="preserve">https://branitelji.gov.hr/UserDocsImages//dokumenti/Nikola//popis%20dokaza%20za%20ostv arivanje%20prava%20prednosti%20pri%20zapo%C5%A1ljavanju- %20ZOHBDR%202021.pdf </w:t>
      </w:r>
    </w:p>
    <w:p w14:paraId="0888CF5A">
      <w:pPr>
        <w:spacing w:after="211" w:line="268" w:lineRule="auto"/>
        <w:ind w:left="820"/>
        <w:contextualSpacing/>
        <w:jc w:val="both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Kandidati koji se pozivaju na pravo prednosti pri zapošljavanju u skladu s člankom 9. Zakona o profesionalnoj rehabilitaciji i zapošljavanju osoba s invaliditetom (Narodne novine 157/ 13, 152/ 14, 39/18, 32/20) uz prijavu na natječaj dužni su, pored dokaza o ispunjavanju traženih uvjeta, priložiti i dokaz o utvrđenom statusu osobe s invaliditetom. </w:t>
      </w:r>
    </w:p>
    <w:p w14:paraId="03877263">
      <w:pPr>
        <w:spacing w:after="211" w:line="268" w:lineRule="auto"/>
        <w:ind w:left="460"/>
        <w:jc w:val="both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Kandidati koji se pozivaju na pravo prednosti pri zapošljavanju iz članka 48.  Zakona o zaštiti vojnih i civilnih invalida rata (Narodne novine 33/92, 57/92, 77/92, 27/93, 58/93, 02/94, 76/94, 108/95, 108/96, 82/01, 103/03, 148/13, 98/19), uz ostale dokaze o ispunjavanju traženih uvjeta, dužni su priložiti i odgovarajuće dokaze o ostvarivanju prava prednosti, kao i rješenje, odnosno potvrdu iz koje je vidljivo spomenuto pravo te dokaz o tome na koji način je prestao radni odnos kod posljednjeg poslodavca. </w:t>
      </w:r>
    </w:p>
    <w:p w14:paraId="7E3BE666">
      <w:pPr>
        <w:spacing w:after="211" w:line="268" w:lineRule="auto"/>
        <w:ind w:left="820"/>
        <w:contextualSpacing/>
        <w:jc w:val="both"/>
        <w:rPr>
          <w:rFonts w:ascii="Times New Roman" w:hAnsi="Times New Roman" w:eastAsia="Calibri" w:cs="Times New Roman"/>
          <w:color w:val="0070C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dužni su uz prijavu na natječaj priložiti sve dokaze o ispunjavanju traženih uvjeta iz natječaja te ovisno o kategoriji koja se poziva na prednost pri zapošljavanju priložiti sve potrebne dokaze dostupne na poveznici ministarstva hrvatskih branitelja: </w:t>
      </w:r>
      <w:r>
        <w:rPr>
          <w:rFonts w:ascii="Times New Roman" w:hAnsi="Times New Roman" w:eastAsia="Calibri" w:cs="Times New Roman"/>
          <w:color w:val="0070C0"/>
          <w:kern w:val="0"/>
          <w:szCs w:val="22"/>
          <w:lang w:eastAsia="hr-HR"/>
          <w14:ligatures w14:val="none"/>
        </w:rPr>
        <w:t xml:space="preserve">https://branitelji.gov.hr/UserDocsImages//dokumenti/Nikola//popis%20dokaza%20za%20ostv arivanje%20prava%20prednosti%20pri%20zapo%C5%A1ljavanju- %20Zakon%20o%20civilnim%20stradalnicima%20iz%20DR.pdf</w:t>
      </w:r>
    </w:p>
    <w:p w14:paraId="5B02DE39">
      <w:pPr>
        <w:spacing w:after="211" w:line="268" w:lineRule="auto"/>
        <w:ind w:left="820"/>
        <w:contextualSpacing/>
        <w:rPr>
          <w:rFonts w:ascii="Times New Roman" w:hAnsi="Times New Roman" w:eastAsia="Calibri" w:cs="Times New Roman"/>
          <w:color w:val="0070C0"/>
          <w:kern w:val="0"/>
          <w:szCs w:val="22"/>
          <w:lang w:eastAsia="hr-HR"/>
          <w14:ligatures w14:val="none"/>
        </w:rPr>
      </w:pPr>
    </w:p>
    <w:p w14:paraId="181424A0">
      <w:pPr>
        <w:spacing w:after="211" w:line="268" w:lineRule="auto"/>
        <w:ind w:left="820"/>
        <w:contextualSpacing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 Isprave se prilažu u neovjerenoj preslici. </w:t>
      </w:r>
    </w:p>
    <w:p w14:paraId="57CDC186">
      <w:pPr>
        <w:spacing w:after="211" w:line="268" w:lineRule="auto"/>
        <w:ind w:left="820"/>
        <w:contextualSpacing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</w:p>
    <w:p w14:paraId="13140369">
      <w:pPr>
        <w:spacing w:after="211" w:line="268" w:lineRule="auto"/>
        <w:ind w:left="820"/>
        <w:contextualSpacing/>
        <w:jc w:val="both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 Za predloženog kandidata provest će se provjera postojanja/nepostojanja zapreka za zasnivanje radnog odnosa prema članku 25. Zakona o predškolskom odgoju i obrazovanju (NN 10/97, 107/07, 94/13, 98/19, 57/22, 101/23) kod preostalih nadležnih tijela. U skladu sa člankom 13. stavak 3. Zakona o ravnopravnosti spolova (NN 82/08,69/17) na natječaj se mogu javiti osobe oba spola. Izrazi iz teksta natječaja rodnog značenja koriste se neutralno i jednako su primjenjivi na muški i ženski rod. </w:t>
      </w:r>
    </w:p>
    <w:p w14:paraId="01D37C0F">
      <w:pPr>
        <w:spacing w:after="211" w:line="268" w:lineRule="auto"/>
        <w:ind w:left="820"/>
        <w:contextualSpacing/>
        <w:jc w:val="both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Navedene isprave dostavljaju se u neovjerenoj preslici i ne vraćaju se kandidatu po završetku natječajnog postupka. 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 </w:t>
      </w:r>
    </w:p>
    <w:p w14:paraId="1EA78BAC">
      <w:pPr>
        <w:spacing w:after="211" w:line="268" w:lineRule="auto"/>
        <w:ind w:left="820"/>
        <w:contextualSpacing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:lang w:eastAsia="hr-HR"/>
          <w14:ligatures w14:val="none"/>
        </w:rPr>
      </w:pPr>
      <w:r>
        <w:rPr>
          <w:rFonts w:ascii="Calibri" w:hAnsi="Calibri" w:eastAsia="Calibri" w:cs="Calibri"/>
          <w:color w:val="000000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:lang w:eastAsia="hr-HR"/>
          <w14:ligatures w14:val="none"/>
        </w:rPr>
        <w:t xml:space="preserve">Prijave dostaviti isključivo preporučenom poštom na adresu: Dječji vrtić „Latica </w:t>
      </w:r>
      <w:r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:lang w:eastAsia="hr-HR"/>
          <w14:ligatures w14:val="none"/>
        </w:rPr>
        <w:t xml:space="preserve">Garčin</w:t>
      </w:r>
      <w:r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:lang w:eastAsia="hr-HR"/>
          <w14:ligatures w14:val="none"/>
        </w:rPr>
        <w:t xml:space="preserve">“  Put </w:t>
      </w:r>
      <w:r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:lang w:eastAsia="hr-HR"/>
          <w14:ligatures w14:val="none"/>
        </w:rPr>
        <w:t xml:space="preserve">Surevice</w:t>
      </w:r>
      <w:r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:lang w:eastAsia="hr-HR"/>
          <w14:ligatures w14:val="none"/>
        </w:rPr>
        <w:t xml:space="preserve"> 4 , 35212 Garčin - Uz naznaku: „Za natječaj – pomoćnik za njegu, skrb i pratnju“</w:t>
      </w:r>
    </w:p>
    <w:p w14:paraId="387FFF1F">
      <w:pPr>
        <w:spacing w:after="211" w:line="268" w:lineRule="auto"/>
        <w:ind w:left="820"/>
        <w:contextualSpacing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Natječaj se objavljuje na mrežnim stranicama i oglasnim pločama Hrvatskog zavoda za zapošljavanje te mrežnim stranicama i oglasnim pločama Dječjeg vrtića „Latica Garčin“. </w:t>
      </w:r>
    </w:p>
    <w:p w14:paraId="216B08C7">
      <w:pPr>
        <w:widowControl w:val="false"/>
        <w:autoSpaceDE w:val="false"/>
        <w:autoSpaceDN w:val="false"/>
        <w:spacing w:after="0" w:line="240" w:lineRule="auto"/>
        <w:ind w:left="820" w:right="125"/>
        <w:contextualSpacing/>
        <w:jc w:val="both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Rok za podnošenje prijava na natječaj je 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od 2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1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.10.2025. do 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29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.10.2025.</w:t>
      </w:r>
    </w:p>
    <w:p w14:paraId="223C7CD5">
      <w:pPr>
        <w:widowControl w:val="false"/>
        <w:autoSpaceDE w:val="false"/>
        <w:autoSpaceDN w:val="false"/>
        <w:spacing w:after="0" w:line="240" w:lineRule="auto"/>
        <w:ind w:left="820" w:right="125"/>
        <w:contextualSpacing/>
        <w:jc w:val="both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</w:p>
    <w:p w14:paraId="6612C448">
      <w:pPr>
        <w:widowControl w:val="false"/>
        <w:autoSpaceDE w:val="false"/>
        <w:autoSpaceDN w:val="false"/>
        <w:spacing w:after="0" w:line="240" w:lineRule="auto"/>
        <w:ind w:left="820" w:right="121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Za kandidate koji ispunjavaju formalne uvjete natječaja Dječji vrtić „Latica Garčin“ zadržava</w:t>
      </w:r>
      <w:r>
        <w:rPr>
          <w:rFonts w:ascii="Times New Roman" w:hAnsi="Times New Roman" w:eastAsia="Times New Roman" w:cs="Times New Roman"/>
          <w:color w:val="000000"/>
          <w:spacing w:val="-57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7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pravo provođenja provjere znanja i vještina testiranjem i intervjuom. O održavanju testiranja i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li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7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intervjua kandidati će biti obaviješteni najkasnije 5 dana prije održavanja istog. Ako kandidat</w:t>
      </w:r>
      <w:r>
        <w:rPr>
          <w:rFonts w:ascii="Times New Roman" w:hAnsi="Times New Roman" w:eastAsia="Times New Roman" w:cs="Times New Roman"/>
          <w:color w:val="000000"/>
          <w:spacing w:val="1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ne</w:t>
      </w:r>
      <w:r>
        <w:rPr>
          <w:rFonts w:ascii="Times New Roman" w:hAnsi="Times New Roman" w:eastAsia="Times New Roman" w:cs="Times New Roman"/>
          <w:color w:val="000000"/>
          <w:spacing w:val="-2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pristupi testiranju i intervjuu, smatra</w:t>
      </w:r>
      <w:r>
        <w:rPr>
          <w:rFonts w:ascii="Times New Roman" w:hAnsi="Times New Roman" w:eastAsia="Times New Roman" w:cs="Times New Roman"/>
          <w:color w:val="000000"/>
          <w:spacing w:val="-1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se</w:t>
      </w:r>
      <w:r>
        <w:rPr>
          <w:rFonts w:ascii="Times New Roman" w:hAnsi="Times New Roman" w:eastAsia="Times New Roman" w:cs="Times New Roman"/>
          <w:color w:val="000000"/>
          <w:spacing w:val="-1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da</w:t>
      </w:r>
      <w:r>
        <w:rPr>
          <w:rFonts w:ascii="Times New Roman" w:hAnsi="Times New Roman" w:eastAsia="Times New Roman" w:cs="Times New Roman"/>
          <w:color w:val="000000"/>
          <w:spacing w:val="-1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je povukao svoju prijavu.</w:t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 </w:t>
      </w:r>
    </w:p>
    <w:p w14:paraId="03674135">
      <w:pPr>
        <w:widowControl w:val="false"/>
        <w:autoSpaceDE w:val="false"/>
        <w:autoSpaceDN w:val="false"/>
        <w:spacing w:after="0" w:line="240" w:lineRule="auto"/>
        <w:ind w:left="820" w:right="121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O rezultatima provedenog natječaja kandidati će biti obaviješteni putem mrežne stranice Vrtića </w:t>
      </w:r>
      <w:r>
        <w:rPr/>
        <w:fldChar w:fldCharType="begin"/>
      </w:r>
      <w:r>
        <w:rPr/>
        <w:instrText xml:space="preserve">HYPERLINK "https://www.latica-garcin.hr/" </w:instrText>
      </w:r>
      <w:r>
        <w:rPr/>
        <w:fldChar w:fldCharType="separate"/>
      </w:r>
      <w:r>
        <w:rPr>
          <w:rFonts w:ascii="Times New Roman" w:hAnsi="Times New Roman" w:eastAsia="Times New Roman" w:cs="Times New Roman"/>
          <w:color w:val="0462C1"/>
          <w:kern w:val="0"/>
          <w:szCs w:val="22"/>
          <w:u w:val="single" w:color="0462C1"/>
          <w:lang w:eastAsia="hr-HR"/>
          <w14:ligatures w14:val="none"/>
        </w:rPr>
        <w:t xml:space="preserve">https://www.latica-garcin.hr/</w:t>
      </w:r>
      <w:r>
        <w:rPr/>
        <w:fldChar w:fldCharType="end"/>
      </w:r>
      <w:r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u roku od osam dana od dana donošenja odluke o odabiru kandidata na sjednici Upravnog vijeća.</w:t>
      </w:r>
    </w:p>
    <w:p w14:paraId="2B3D48B3">
      <w:pPr>
        <w:widowControl w:val="false"/>
        <w:autoSpaceDE w:val="false"/>
        <w:autoSpaceDN w:val="false"/>
        <w:spacing w:after="0" w:line="240" w:lineRule="auto"/>
        <w:ind w:left="820" w:right="125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Cs w:val="22"/>
          <w:lang w:eastAsia="hr-HR"/>
          <w14:ligatures w14:val="none"/>
        </w:rPr>
      </w:pPr>
    </w:p>
    <w:p w14:paraId="691AC893">
      <w:pPr>
        <w:spacing w:after="211" w:line="268" w:lineRule="auto"/>
        <w:ind w:left="460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Prijave koje nisu u skladu s ovim natječajem, odnosno: nepravodobne, nepotpune,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nepotpisane i primljene elektronskim putem, neće se razmatrati. </w:t>
      </w:r>
    </w:p>
    <w:p w14:paraId="2D93BF1C">
      <w:pPr>
        <w:spacing w:after="211" w:line="268" w:lineRule="auto"/>
        <w:ind w:left="820"/>
        <w:contextualSpacing/>
        <w:jc w:val="right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</w:p>
    <w:p w14:paraId="181772AF">
      <w:pPr>
        <w:spacing w:after="211" w:line="268" w:lineRule="auto"/>
        <w:ind w:left="820"/>
        <w:contextualSpacing/>
        <w:jc w:val="right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RAVNATELJICA:</w:t>
      </w:r>
    </w:p>
    <w:p w14:paraId="5697716C">
      <w:pPr>
        <w:spacing w:after="211" w:line="268" w:lineRule="auto"/>
        <w:ind w:left="460"/>
        <w:jc w:val="right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Ankica Bitunjac, mag. 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praesc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. 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educ</w:t>
      </w: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.</w:t>
      </w:r>
    </w:p>
    <w:p w14:paraId="1AF7444A">
      <w:pPr>
        <w:spacing w:after="211" w:line="268" w:lineRule="auto"/>
        <w:ind w:left="460"/>
        <w:jc w:val="right"/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Cs w:val="22"/>
          <w:lang w:eastAsia="hr-HR"/>
          <w14:ligatures w14:val="none"/>
        </w:rPr>
        <w:t xml:space="preserve">_____________________________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ptos">
    <w:charset w:val="0"/>
    <w:family w:val="swiss"/>
    <w:pitch w:val="variable"/>
    <w:sig w:usb0="20000287" w:usb1="00000003" w:usb2="00000000" w:usb3="00000000" w:csb0="0000019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6FA5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"/>
      <w:pPr>
        <w:tabs>
          <w:tab w:val="num" w:pos="1440"/>
        </w:tabs>
        <w:spacing/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suff w:val="tab"/>
      <w:lvlText w:val=""/>
      <w:pPr>
        <w:tabs>
          <w:tab w:val="num" w:pos="2160"/>
        </w:tabs>
        <w:spacing/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suff w:val="tab"/>
      <w:lvlText w:val=""/>
      <w:pPr>
        <w:tabs>
          <w:tab w:val="num" w:pos="3600"/>
        </w:tabs>
        <w:spacing/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suff w:val="tab"/>
      <w:lvlText w:val=""/>
      <w:pPr>
        <w:tabs>
          <w:tab w:val="num" w:pos="4320"/>
        </w:tabs>
        <w:spacing/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suff w:val="tab"/>
      <w:lvlText w:val=""/>
      <w:pPr>
        <w:tabs>
          <w:tab w:val="num" w:pos="5760"/>
        </w:tabs>
        <w:spacing/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suff w:val="tab"/>
      <w:lvlText w:val=""/>
      <w:pPr>
        <w:tabs>
          <w:tab w:val="num" w:pos="6480"/>
        </w:tabs>
        <w:spacing/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DB1B0A"/>
    <w:lvl w:ilvl="0">
      <w:start w:val="1"/>
      <w:numFmt w:val="decimal"/>
      <w:suff w:val="tab"/>
      <w:lvlText w:val="%1."/>
      <w:pPr>
        <w:spacing/>
        <w:ind w:left="820" w:hanging="360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suff w:val="tab"/>
      <w:lvlText w:val="%2."/>
      <w:pPr>
        <w:spacing/>
        <w:ind w:left="2260" w:hanging="360"/>
      </w:pPr>
      <w:rPr>
        <w:rFonts w:ascii="Times New Roman" w:hAnsi="Times New Roman" w:eastAsia="Times New Roman" w:cs="Times New Roman" w:hint="default"/>
        <w:w w:val="100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3036" w:hanging="36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812" w:hanging="36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588" w:hanging="36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365" w:hanging="36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141" w:hanging="36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6917" w:hanging="36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7693" w:hanging="360"/>
      </w:pPr>
      <w:rPr>
        <w:rFonts w:hint="default"/>
        <w:lang w:val="hr-HR" w:eastAsia="en-US" w:bidi="ar-SA"/>
      </w:rPr>
    </w:lvl>
  </w:abstractNum>
  <w:abstractNum w:abstractNumId="2">
    <w:nsid w:val="409A11F9"/>
    <w:lvl w:ilvl="0">
      <w:start w:val="0"/>
      <w:numFmt w:val="bullet"/>
      <w:suff w:val="tab"/>
      <w:lvlText w:val="-"/>
      <w:pPr>
        <w:spacing/>
        <w:ind w:left="820" w:hanging="360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1662" w:hanging="360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505" w:hanging="36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347" w:hanging="36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190" w:hanging="36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033" w:hanging="36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5875" w:hanging="36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6718" w:hanging="36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7561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467886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036D-93B4-455B-BFEA-B01C1A9EB1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1043</Words>
  <Characters>6576</Characters>
  <Application>Microsoft Office Word</Application>
  <DocSecurity>0</DocSecurity>
  <Lines>131</Lines>
  <Paragraphs>51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Ankica Bitunjac</cp:lastModifiedBy>
  <cp:revision>2</cp:revision>
  <dcterms:created xsi:type="dcterms:W3CDTF">2025-10-20T07:11:00Z</dcterms:created>
  <dcterms:modified xsi:type="dcterms:W3CDTF">2025-10-20T07:11:00Z</dcterms:modified>
</cp:coreProperties>
</file>