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pPr w:leftFromText="180" w:rightFromText="180" w:vertAnchor="text" w:horzAnchor="margin" w:tblpXSpec="center" w:tblpY="166"/>
        <w:tblW w:w="87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886"/>
        <w:gridCol w:w="1909"/>
      </w:tblGrid>
      <w:tr>
        <w:trPr>
          <w:trHeight w:val="24" w:hRule="atLeast"/>
        </w:trPr>
        <w:tc>
          <w:tcPr>
            <w:tcW w:type="dxa" w:w="6890"/>
            <w:tcBorders/>
          </w:tcPr>
          <w:p>
            <w:pPr>
              <w:spacing w:after="160" w:line="268" w:lineRule="auto"/>
              <w:ind w:left="10" w:hanging="10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2" w:name="_Hlk128748807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lang w:val="en-US"/>
              </w:rPr>
              <w:t xml:space="preserve">601-02/25-06/10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 xml:space="preserve">2178-6-2-25-2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                                                        Garčin,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30.10.2025.</w:t>
            </w:r>
          </w:p>
          <w:p>
            <w:pPr>
              <w:spacing w:after="160" w:line="268" w:lineRule="auto"/>
              <w:ind w:left="10" w:hanging="1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after="160" w:line="268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after="160" w:line="268" w:lineRule="auto"/>
              <w:ind w:left="10" w:hanging="1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type="auto" w:w="0"/>
            <w:tcBorders/>
          </w:tcPr>
          <w:p>
            <w:pPr>
              <w:spacing w:after="160" w:line="268" w:lineRule="auto"/>
              <w:ind w:left="10" w:hanging="1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/>
              <w:drawing>
                <wp:inline>
                  <wp:extent cx="933580" cy="933580"/>
                  <wp:docPr id="1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3AE083F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 A P I S N I K</w:t>
      </w:r>
    </w:p>
    <w:p w14:paraId="3AE08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sa 3 . sjednice Upravnog vijeća</w:t>
      </w:r>
    </w:p>
    <w:p w14:paraId="3AE08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Dječjeg vrtića „Latica Garčin“</w:t>
      </w:r>
    </w:p>
    <w:p w14:paraId="3AE08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održane  22.09.2025. godine</w:t>
      </w:r>
    </w:p>
    <w:p w14:paraId="3AE08402">
      <w:pPr>
        <w:pBdr>
          <w:top w:val="nil"/>
          <w:left w:val="nil"/>
          <w:bottom w:val="nil"/>
          <w:right w:val="nil"/>
          <w:between w:val="nil"/>
        </w:pBdr>
        <w:tabs>
          <w:tab w:val="left" w:pos="3324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3AE08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AE08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colFirst="0" w:colLast="0" w:id="3" w:name="_heading=h.rynbg4vdwwon"/>
      <w:bookmarkEnd w:id="3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Nazočni članovi: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Lea Bukvić (predsjednica Upravnog vijeća)</w:t>
      </w:r>
    </w:p>
    <w:p w14:paraId="3AE084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Marko Barić (zamjenik predsjednice Upravnog vijeća)</w:t>
      </w:r>
    </w:p>
    <w:p w14:paraId="3AE08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Ksenija Škopljanac (član Upravnog vijeća),</w:t>
      </w:r>
    </w:p>
    <w:p w14:paraId="3AE08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Brankica Vlajnić (član Upravnog vijeća).</w:t>
      </w:r>
    </w:p>
    <w:p w14:paraId="3AE084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04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colFirst="0" w:colLast="0" w:id="4" w:name="_heading=h.69fyouaiwqgb"/>
      <w:bookmarkEnd w:id="4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Vesna Bukvić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(član Upravnog vijeće)</w:t>
      </w:r>
    </w:p>
    <w:p w14:paraId="3AE08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AE08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Ostali nazočni: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Ankica Bitunjac (Ravnateljica Dječjeg vrtića „Latica Garčin“)</w:t>
      </w:r>
    </w:p>
    <w:p w14:paraId="3AE084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AE0840E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Sjednica započela: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16:30</w:t>
      </w:r>
    </w:p>
    <w:p w14:paraId="3AE0840F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Sjednica završila: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17:30</w:t>
      </w:r>
    </w:p>
    <w:p w14:paraId="3AE08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AE084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AE08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 predložen dnevni red nije bilo primjedbi niti drugih dopuna. Jednoglasno je prihvaćen sljedeći</w:t>
      </w:r>
    </w:p>
    <w:p w14:paraId="3AE08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AE08414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3AE08415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DNEVNI RED:</w:t>
      </w:r>
    </w:p>
    <w:p w14:paraId="3AE08416">
      <w:pPr>
        <w:numPr>
          <w:ilvl w:val="0"/>
          <w:numId w:val="1"/>
        </w:numPr>
        <w:spacing w:before="240" w:after="16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colFirst="0" w:colLast="0" w:id="5" w:name="_heading=h.i62yt89v6dp6"/>
      <w:bookmarkEnd w:id="5"/>
      <w:r>
        <w:rPr>
          <w:rFonts w:ascii="Times New Roman" w:hAnsi="Times New Roman" w:eastAsia="Times New Roman" w:cs="Times New Roman"/>
          <w:sz w:val="24"/>
          <w:szCs w:val="24"/>
        </w:rPr>
        <w:t xml:space="preserve">Usvajanje zapisnika s 2. sjednice Upravnog vijeća </w:t>
      </w:r>
    </w:p>
    <w:p w14:paraId="3AE08417">
      <w:pPr>
        <w:numPr>
          <w:ilvl w:val="0"/>
          <w:numId w:val="1"/>
        </w:numPr>
        <w:spacing w:before="240" w:after="16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Donošenje polugodišnjeg izvještaja o izvršenju financijskog plana Dječjeg vrtića“Latica Garčin“ za razdoblje 1.1. - 30.06.2025. g.</w:t>
      </w:r>
    </w:p>
    <w:p w14:paraId="3AE084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colFirst="0" w:colLast="0" w:id="6" w:name="_heading=h.82gsz5ui4uv6"/>
      <w:bookmarkEnd w:id="6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Prijedlog i usvajanje Odluke o izmjenama Pravilnika o plaćama, naknadama plaće i drugim materijalnim pravima radnika zaposlenih u Dječjem vrtiću „Latica Garčin“ (povećanje koeficijenata i osnovice prema odluci Vlade Republike Hrvatske) te traženje suglasnosti Općinskog vijeća</w:t>
      </w:r>
    </w:p>
    <w:p w14:paraId="3AE08419">
      <w:pPr>
        <w:numPr>
          <w:ilvl w:val="0"/>
          <w:numId w:val="1"/>
        </w:numPr>
        <w:spacing w:before="24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colFirst="0" w:colLast="0" w:id="7" w:name="_heading=h.alkl4y8zc8t"/>
      <w:bookmarkEnd w:id="7"/>
      <w:r>
        <w:rPr>
          <w:rFonts w:ascii="Times New Roman" w:hAnsi="Times New Roman" w:eastAsia="Times New Roman" w:cs="Times New Roman"/>
          <w:sz w:val="24"/>
          <w:szCs w:val="24"/>
        </w:rPr>
        <w:t xml:space="preserve"> Prijedlog i usvajanje izvješća o Godišnjem planu i programu rada Dječjeg vrtića “Latica Garčin“ za 2024./2025. pedagošku godinu</w:t>
      </w:r>
    </w:p>
    <w:p w14:paraId="3AE0841A">
      <w:pPr>
        <w:numPr>
          <w:ilvl w:val="0"/>
          <w:numId w:val="1"/>
        </w:numPr>
        <w:spacing w:before="24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colFirst="0" w:colLast="0" w:id="8" w:name="_heading=h.n8jikxfj8ei"/>
      <w:bookmarkEnd w:id="8"/>
      <w:r>
        <w:rPr>
          <w:rFonts w:ascii="Times New Roman" w:hAnsi="Times New Roman" w:eastAsia="Times New Roman" w:cs="Times New Roman"/>
          <w:sz w:val="24"/>
          <w:szCs w:val="24"/>
        </w:rPr>
        <w:t xml:space="preserve">Prijedlog i usvajanje  Godišnjeg plana i programa rada Dječjeg vrtića “Latica Garčin“ za 2025./2026. pedagošku godinu</w:t>
      </w:r>
    </w:p>
    <w:p w14:paraId="3AE0841B">
      <w:pPr>
        <w:numPr>
          <w:ilvl w:val="0"/>
          <w:numId w:val="1"/>
        </w:numPr>
        <w:spacing w:before="24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Izvješće povjerenstva za provedbu natječaja za radno mjesto – odgojitelj na puno radno vrijeme</w:t>
      </w:r>
    </w:p>
    <w:p w14:paraId="3AE084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Razno</w:t>
      </w:r>
    </w:p>
    <w:p w14:paraId="3AE0841D">
      <w:pPr>
        <w:spacing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AE0841E">
      <w:pPr>
        <w:spacing/>
        <w:rPr/>
      </w:pPr>
    </w:p>
    <w:p w14:paraId="3AE084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AE08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AE084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3AE084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TOČKA 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Usvajanje zapisnika s 2. sjednice Upravnog vijeća</w:t>
      </w:r>
    </w:p>
    <w:p w14:paraId="3AE0842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Zapisnik sa 2. Sjednice Upravnog vijeća, dostavljen u radnim materijalima za sjednicu, jednoglasno je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usvojen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</w:p>
    <w:p w14:paraId="3AE08424">
      <w:pPr>
        <w:spacing w:before="240" w:after="160" w:line="240" w:lineRule="auto"/>
        <w:ind w:left="1440" w:hanging="14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TOČKA 2.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Donošenje polugodišnjeg izvještaja o izvršenju financijskog plana Dječjeg vrtića“Latica Garčin“ za razdoblje 1.1. - 30.06.2025. g.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  <w:t xml:space="preserve"/>
      </w:r>
    </w:p>
    <w:p w14:paraId="3AE0842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Polugodišnji izvještaj o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izvršenju financijskog plana Dječjeg vrtića“Latica Garčin“ za razdoblje 1.1. - 30.06.2025. g. jednoglasno je usvojen.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</w:p>
    <w:p w14:paraId="3AE0842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AE08427">
      <w:pPr>
        <w:spacing w:after="160"/>
        <w:ind w:left="1440" w:hanging="14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TOČKA 3.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Prijedlog i usvajanje Odluke o izmjenama Pravilnika o plaćama, naknadama plaće i drugim materijalnim pravima radnika zaposlenih u Dječjem vrtiću „Latica Garčin“ (povećanje koeficijenata i osnovice prema odluci Vlade Republike Hrvatske) te traženje suglasnosti Općinskog vijeća</w:t>
      </w:r>
    </w:p>
    <w:p w14:paraId="3AE08428">
      <w:pPr>
        <w:spacing w:after="16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Odluka o izmjenama Pravilnika o plaćama, naknadama plaće i drugim materijalnim pravima radnika zaposlenih u Dječjem vrtiću „Latica Garčin“ (povećanje koeficijenata i osnovice prema odluci Vlade Republike Hrvatske), dana je na uvid Upravnom vijeću te je jednoglasno usvojena. Dalje se traži suglasnost Općinskog vijeća.</w:t>
      </w:r>
    </w:p>
    <w:p w14:paraId="3AE08429">
      <w:pPr>
        <w:spacing w:before="240" w:after="0" w:line="240" w:lineRule="auto"/>
        <w:ind w:left="1440" w:hanging="14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TOČKA 4.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Prijedlog i usvajanje izvješća o Godišnjem planu i programu rada Dječjeg vrtića “Latica Garčin“ za 2024./2025. pedagošku godinu</w:t>
      </w:r>
    </w:p>
    <w:p w14:paraId="3AE0842A">
      <w:pPr>
        <w:spacing w:before="240" w:after="0" w:line="240" w:lineRule="auto"/>
        <w:ind w:left="72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Prijedlog izvješća o Godišnjem planu i programu rada Dječjeg vrtića “Latica Garčin” za 2024./2025. pedagošku godinu, jednoglasno je usvojen.</w:t>
      </w:r>
    </w:p>
    <w:p w14:paraId="3AE0842B">
      <w:pPr>
        <w:spacing w:before="240" w:after="0" w:line="240" w:lineRule="auto"/>
        <w:ind w:left="1440" w:hanging="14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TOČKA 5.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Prijedlog i usvajanje  Godišnjeg plana i programa rada Dječjeg vrtića “Latica Garčin“ za 2025./2026. pedagošku godinu</w:t>
      </w:r>
    </w:p>
    <w:p w14:paraId="3AE0842C">
      <w:pPr>
        <w:spacing w:before="240" w:after="0" w:line="240" w:lineRule="auto"/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Prijedlog Godišnjeg plana i programa rada Dječjeg vrtića “Latica Garčin“ za 2025./2026. pedagošku godinu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jednoglasno je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usvojen.</w:t>
      </w:r>
    </w:p>
    <w:p w14:paraId="3AE0842E">
      <w:pPr>
        <w:spacing w:before="240" w:after="0" w:line="240" w:lineRule="auto"/>
        <w:ind w:left="1440" w:hanging="14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TOČKA 6.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Izvješće povjerenstva za provedbu natječaja za radno mjesto – odgojitelj na puno radno vrijeme</w:t>
      </w:r>
    </w:p>
    <w:p w14:paraId="7C016507">
      <w:pPr>
        <w:spacing w:before="240" w:after="0" w:line="240" w:lineRule="auto"/>
        <w:ind w:left="1440" w:hanging="144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AE0842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Izvješće povjerenstva za provedbu natječaja za radno mjesto- odgojitelj na puno radno vrijeme pročitano je, te jednoglasno usvojeno. Zamolbi sa punom traženom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dokumentacijom nije bilo.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Nakon rasprave, jednoglasno je usvojen prijedlog ra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vnateljice da se raspiše novi natječaj za isto radno mjesto.</w:t>
      </w:r>
    </w:p>
    <w:p w14:paraId="3AE084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3AE084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TOČKA 7.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Razno</w:t>
      </w:r>
    </w:p>
    <w:p w14:paraId="3AE084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Prihvaćen je prijedlog člana Upravnog vijeća Marka Barića da ubuduće u Povjerenstvu za provedbu natječaja bude i jedan član Upravnog vijeća. </w:t>
      </w:r>
    </w:p>
    <w:p w14:paraId="3AE084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Član Upravnog vijeće Marka Barića predložio je da se pošalje upit Agenciji kako se ne bi morao ponavljati natječaj za radno mjesto- odgojitelj, puno radno vrijeme, nego da se na to mjesto primi osoba koja je na natječaj poslala nepotpunu dokumentaciju jer je diplomirala tri dana nakon roka natječaja.</w:t>
      </w:r>
    </w:p>
    <w:p w14:paraId="3AE084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Prihvaćen je prijedlog člana Upravnog vijeća Marka Barića za raspisivanje natječaja za spremačicu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nepuno radno 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rijeme, zbog produženja radnog vremena vrtića.</w:t>
      </w:r>
    </w:p>
    <w:p w14:paraId="3AE084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</w:p>
    <w:p w14:paraId="3AE084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  <w:t xml:space="preserve"/>
      </w:r>
    </w:p>
    <w:p w14:paraId="3AE084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Predsjednica Upravnog vijeća zaključila je sjednicu u 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0 sati.</w:t>
      </w:r>
    </w:p>
    <w:p w14:paraId="3AE08439">
      <w:pPr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AE0843A">
      <w:pPr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AE0843B">
      <w:pPr>
        <w:spacing/>
        <w:rPr>
          <w:rFonts w:ascii="Times New Roman" w:hAnsi="Times New Roman" w:eastAsia="Times New Roman" w:cs="Times New Roman"/>
          <w:sz w:val="24"/>
          <w:szCs w:val="24"/>
        </w:rPr>
      </w:pPr>
    </w:p>
    <w:p w14:paraId="3AE08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Zapisničar: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Predsjednica Upravnog vijeća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„Latica Garčin“</w:t>
      </w:r>
    </w:p>
    <w:p w14:paraId="3AE084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C5F0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Brankica Vlajnić, mag. praesc. educ.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Lea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Bukvić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uni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v.bacc.praesc.edu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c.</w:t>
      </w:r>
    </w:p>
    <w:p w14:paraId="3629E5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5083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</w:p>
    <w:p w14:paraId="03AA3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AE08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colFirst="0" w:colLast="0" w:id="9" w:name="_heading=h.mn3lz0ggcodd"/>
      <w:bookmarkEnd w:id="9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438150</wp:posOffset>
                </wp:positionV>
                <wp:extent cx="0" cy="12700"/>
                <wp:effectExtent xmlns:wp="http://schemas.openxmlformats.org/drawingml/2006/wordprocessingDrawing" l="0" t="0" r="0" b="0"/>
                <wp:wrapNone/>
                <wp:docPr id="2" name="Ravni poveznik sa strelicom 6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round/>
                          <a:headEnd type="none" w="sm" len="sm"/>
                          <a:tailEnd type="none" w="sm" len="sm"/>
                        </a:ln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.5pt;margin-top:34.5pt;width:0pt;height:1pt;z-index:251658240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narrow" startarrowlength="short" endarrow="none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438150</wp:posOffset>
                </wp:positionV>
                <wp:extent cx="0" cy="12700"/>
                <wp:effectExtent xmlns:wp="http://schemas.openxmlformats.org/drawingml/2006/wordprocessingDrawing" l="0" t="0" r="0" b="0"/>
                <wp:wrapNone/>
                <wp:docPr id="3" name="Ravni poveznik sa strelicom 7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round/>
                          <a:headEnd type="none" w="sm" len="sm"/>
                          <a:tailEnd type="none" w="sm" len="sm"/>
                        </a:ln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282.75pt;margin-top:34.5pt;width:0pt;height:1pt;z-index:251659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narrow" startarrowlength="short" endarrow="none" endarrowwidth="narrow" endarrowlength="short"/>
              </v:shape>
            </w:pict>
          </mc:Fallback>
        </mc:AlternateContent>
      </w:r>
    </w:p>
    <w:p w14:paraId="3AE08441">
      <w:pPr>
        <w:spacing/>
        <w:rPr/>
      </w:pPr>
    </w:p>
    <w:p w14:paraId="3AE08442">
      <w:pPr>
        <w:spacing/>
        <w:rPr/>
      </w:pPr>
    </w:p>
    <w:p w14:paraId="3AE08443">
      <w:pPr>
        <w:spacing/>
        <w:rPr/>
      </w:pPr>
    </w:p>
    <w:p w14:paraId="3AE08444">
      <w:pPr>
        <w:spacing/>
        <w:rPr>
          <w:rFonts w:ascii="Times New Roman" w:hAnsi="Times New Roman" w:eastAsia="Times New Roman" w:cs="Times New Roman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 w:start="1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Georgia">
    <w:charset w:val="0"/>
    <w:family w:val="auto"/>
    <w:pitch w:val="default"/>
    <w:sig w:usb0="00000000" w:usb1="00000000" w:usb2="00000000" w:usb3="00000000" w:csb0="0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3428B"/>
    <w:lvl w:ilvl="0">
      <w:start w:val="1"/>
      <w:numFmt w:val="decimal"/>
      <w:suff w:val="tab"/>
      <w:lvlText w:val="%1."/>
      <w:pPr>
        <w:spacing/>
        <w:ind w:left="1065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hr" w:eastAsia="hr-HR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 w:line="259" w:lineRule="auto"/>
      <w:outlineLvl w:val="0"/>
    </w:pPr>
    <w:rPr>
      <w:rFonts w:ascii="Cambria" w:hAnsi="Cambria" w:eastAsia="Cambria" w:cs="Cambria"/>
      <w:color w:val="366091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Cambria" w:hAnsi="Cambria" w:eastAsia="Cambria" w:cs="Cambria"/>
      <w:color w:val="366091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color w:val="366091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i/>
      <w:color w:val="366091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color w:val="366091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i/>
      <w:color w:val="595959"/>
    </w:rPr>
  </w:style>
  <w:style w:type="paragraph" w:styleId="Naslov7">
    <w:name w:val="Heading 7"/>
    <w:basedOn w:val="Normal"/>
    <w:next w:val="Normal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/>
      <w:lang w:eastAsia="en-US"/>
    </w:rPr>
  </w:style>
  <w:style w:type="paragraph" w:styleId="Naslov8">
    <w:name w:val="Heading 8"/>
    <w:basedOn w:val="Normal"/>
    <w:next w:val="Normal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72727"/>
      <w:lang w:eastAsia="en-US"/>
    </w:rPr>
  </w:style>
  <w:style w:type="paragraph" w:styleId="Naslov9">
    <w:name w:val="Heading 9"/>
    <w:basedOn w:val="Normal"/>
    <w:next w:val="Normal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72727"/>
      <w:lang w:eastAsia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Spacing1" w:customStyle="1">
    <w:name w:val="No Spacing1"/>
    <w:uiPriority w:val="1"/>
    <w:qFormat/>
    <w:pPr>
      <w:spacing w:after="0" w:line="240" w:lineRule="auto"/>
    </w:pPr>
    <w:rPr>
      <w:rFonts w:eastAsiaTheme="minorHAnsi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>
      <w:rFonts w:ascii="Calibri" w:hAnsi="Calibri" w:eastAsia="Calibri" w:cs="Calibri"/>
      <w:lang w:val="hr-HR"/>
    </w:rPr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>
      <w:rFonts w:ascii="Calibri" w:hAnsi="Calibri" w:eastAsia="Calibri" w:cs="Calibri"/>
      <w:lang w:val="hr-HR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rFonts w:cs="Arial"/>
      <w:lang w:val="hr-H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2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/Z7e4VeL+79bzK0Kk7vKanQW9g==">CgMxLjAyDmgucnluYmc0dmR3d29uMg5oLjY5ZnlvdWFpd3FnYjIOaC5pNjJ5dDg5djZkcDYyDmguODJnc3o1dWk0dXY2Mg1oLmFsa2w0eTh6Yzh0Mg1oLm44amlreGZqOGVpMg5oLm1uM2x6MGdnY29kZDgAciExZl9iTi1SbmIzVXNGVTI4RlNPb016MEpDWlBpOTBVWlk=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3</Pages>
  <Words>728</Words>
  <Characters>4154</Characters>
  <Application>Microsoft Office Word</Application>
  <DocSecurity>0</DocSecurity>
  <Lines>34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DV Latica Garčin Psiholog</cp:lastModifiedBy>
  <cp:revision>26</cp:revision>
  <dcterms:created xsi:type="dcterms:W3CDTF">2024-07-28T18:41:00Z</dcterms:created>
  <dcterms:modified xsi:type="dcterms:W3CDTF">2025-10-31T08:52:00Z</dcterms:modified>
</cp:coreProperties>
</file>