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6e9aac131324ac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51548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LATICA GARČIN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354.415,06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394.714,62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339.420,77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425.827,45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31.112,83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9.996,01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4.409,53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35.522,36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Vidljiv je manjak prihoda od poslovanja u iznosu od 32.511,08 €.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19.382,68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w:t>
            </w:r>
          </w:p>
        </w:tc>
      </w:tr>
    </w:tbl>
    <w:p>
      <w:pPr>
        <w:spacing w:before="0" w:after="0"/>
      </w:pPr>
    </w:p>
    <w:p>
      <w:r>
        <w:t xml:space="preserve">Prihodi od pruženih usluga u iznosu od 2.715,40 € se odnose na plaćanja od strane roditelja, i općine Donji Andrijevci, koji sufinanciraju cijenu troška vrtića djetetu sa područja svoje općine. Smanjenje prihoda se dogodilo uslijed smanjenja broja djece koja su iz drugih općina tj. konkretno samo jedno dijete je iz druge općine.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206.145,15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290.910,65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w:t>
            </w:r>
          </w:p>
        </w:tc>
      </w:tr>
    </w:tbl>
    <w:p>
      <w:pPr>
        <w:spacing w:before="0" w:after="0"/>
      </w:pPr>
    </w:p>
    <w:p>
      <w:r>
        <w:t xml:space="preserve">Pozicija plaća za redovan rad se povećala uslijed povećanja koeficijenata zaposlenika kao i povećanja osnovice za izračun plaća.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Dospjela obveza odnosi se na dug prema dobavljaču za usluge tekućeg i investicijskog održavanja.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307514fda914ccc" /></Relationships>
</file>