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3DF475">
      <w:pPr>
        <w:spacing w:line="360" w:lineRule="auto"/>
        <w:jc w:val="both"/>
        <w:rPr>
          <w:sz w:val="24"/>
          <w:szCs w:val="24"/>
        </w:rPr>
      </w:pPr>
    </w:p>
    <w:p w14:paraId="7AD7E393">
      <w:pPr>
        <w:spacing w:line="360" w:lineRule="auto"/>
        <w:jc w:val="both"/>
        <w:rPr>
          <w:sz w:val="24"/>
          <w:szCs w:val="24"/>
        </w:rPr>
      </w:pPr>
      <w:r>
        <w:rPr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1733550</wp:posOffset>
                </wp:positionH>
                <wp:positionV relativeFrom="paragraph">
                  <wp:posOffset>9525</wp:posOffset>
                </wp:positionV>
                <wp:extent cx="3362325" cy="1104900"/>
                <wp:wrapNone/>
                <wp:docPr id="1" name="Tekstni okvir 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cap="flat" cmpd="sng" w="6350">
                          <a:prstDash val="solid"/>
                          <rou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Dječji vrtić „Latica Garčin“</w:t>
                            </w:r>
                          </w:p>
                          <w:p>
                            <w:pPr>
                              <w:pBdr/>
                              <w:spacing/>
                              <w:jc w:val="center"/>
                              <w:rPr>
                                <w:rStyle w:val="Hipervez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Put Surevice 4,  35 212 Garčin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Style w:val="Hiperveza"/>
                                <w:sz w:val="28"/>
                                <w:szCs w:val="28"/>
                              </w:rPr>
                              <w:t xml:space="preserve">dv@latica-garcin.hr</w:t>
                            </w:r>
                          </w:p>
                          <w:p>
                            <w:pPr>
                              <w:pBdr/>
                              <w:spacing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vert="horz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type="#_x0000_t202" style="position:absolute;margin-left:136.5pt;margin-top:0.75pt;width:264.75pt;height:87pt;z-index:251659264;mso-position-horizontal-relative:margin;v-text-anchor:top;mso-wrap-distance-left:9pt;mso-wrap-distance-top:0pt;mso-wrap-distance-right:9pt;mso-wrap-distance-bottom:0pt;mso-wrap-style:square;position:absolute;left:0;text-align:left" fillcolor="#FFFFFF" strokecolor="#000000" strokeweight="0.5pt" stroked="f">
                <v:textbox style="" inset="7.2pt,3.6pt,7.2pt,3.6pt">
                  <w:txbxContent>
                    <w:p>
                      <w:pPr>
                        <w:pBdr/>
                        <w:spacing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Dječji vrtić „Latica Garčin“</w:t>
                      </w:r>
                    </w:p>
                    <w:p>
                      <w:pPr>
                        <w:pBdr/>
                        <w:spacing/>
                        <w:jc w:val="center"/>
                        <w:rPr>
                          <w:rStyle w:val="Hiperveza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Put Surevice 4,  35 212 Garčin</w:t>
                      </w:r>
                      <w:r>
                        <w:rPr>
                          <w:sz w:val="28"/>
                          <w:szCs w:val="28"/>
                        </w:rPr>
                        <w:br/>
                      </w:r>
                      <w:r>
                        <w:rPr>
                          <w:rStyle w:val="Hiperveza"/>
                          <w:sz w:val="28"/>
                          <w:szCs w:val="28"/>
                        </w:rPr>
                        <w:t xml:space="preserve">dv@latica-garcin.hr</w:t>
                      </w:r>
                    </w:p>
                    <w:p>
                      <w:pPr>
                        <w:pBdr/>
                        <w:spacing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hr-HR"/>
        </w:rPr>
        <w:drawing>
          <wp:inline>
            <wp:extent cx="1228725" cy="1236039"/>
            <wp:effectExtent xmlns:wp="http://schemas.openxmlformats.org/drawingml/2006/wordprocessingDrawing" l="0" t="0" r="0" b="2540"/>
            <wp:docPr id="2" descr="Slika na kojoj se prikazuje cvijet, crtić&#10;&#10;Sadržaj generiran umjetnom inteligencijom može biti netočan.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3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95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59"/>
        <w:gridCol w:w="3889"/>
      </w:tblGrid>
      <w:tr>
        <w:trPr>
          <w:trHeight w:val="814" w:hRule="atLeast"/>
        </w:trPr>
        <w:tc>
          <w:tcPr>
            <w:tcW w:type="dxa" w:w="5659"/>
            <w:tcBorders/>
          </w:tcPr>
          <w:p>
            <w:pPr>
              <w:spacing w:after="160"/>
              <w:rPr>
                <w:rFonts w:asciiTheme="majorBidi" w:hAnsiTheme="majorBidi" w:cstheme="majorBidi"/>
              </w:rPr>
            </w:pPr>
            <w:bookmarkStart w:id="2" w:name="_Hlk128748807"/>
          </w:p>
          <w:p>
            <w:pPr>
              <w:spacing w:after="160"/>
              <w:rPr/>
            </w:pPr>
            <w:r>
              <w:rPr>
                <w:rFonts w:asciiTheme="majorBidi" w:hAnsiTheme="majorBidi" w:cstheme="majorBidi"/>
              </w:rPr>
              <w:t xml:space="preserve">KLASA: </w:t>
            </w:r>
            <w:r>
              <w:rPr>
                <w:rFonts w:asciiTheme="majorBidi" w:hAnsiTheme="majorBidi" w:cstheme="majorBidi"/>
                <w:noProof/>
                <w:lang w:val="en-US"/>
              </w:rPr>
              <w:t xml:space="preserve">112-01/26-01/3</w:t>
            </w:r>
            <w:r>
              <w:rPr>
                <w:rFonts w:asciiTheme="majorBidi" w:hAnsiTheme="majorBidi" w:cstheme="majorBid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Theme="majorBidi" w:hAnsiTheme="majorBidi" w:cstheme="majorBidi"/>
                <w:noProof/>
              </w:rPr>
              <w:t xml:space="preserve">2178-6-2-26-1</w:t>
            </w:r>
            <w:r>
              <w:rPr>
                <w:rFonts w:asciiTheme="majorBidi" w:hAnsiTheme="majorBidi" w:cstheme="majorBidi"/>
              </w:rPr>
              <w:t xml:space="preserve">                                                                                                          Garčin,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8</w:t>
            </w:r>
            <w:r>
              <w:rPr>
                <w:rFonts w:asciiTheme="majorBidi" w:hAnsiTheme="majorBidi" w:cstheme="majorBidi"/>
              </w:rPr>
              <w:t xml:space="preserve">.4.2026.</w:t>
            </w:r>
          </w:p>
        </w:tc>
        <w:tc>
          <w:tcPr>
            <w:tcW w:type="dxa" w:w="3889"/>
            <w:tcBorders/>
          </w:tcPr>
          <w:p>
            <w:pPr>
              <w:spacing w:after="160"/>
              <w:jc w:val="right"/>
              <w:rPr/>
            </w:pPr>
            <w:r>
              <w:rPr/>
              <w:drawing>
                <wp:inline>
                  <wp:extent cx="933580" cy="933580"/>
                  <wp:docPr id="3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3F6CAF1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6DB508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Temeljem članka 26. Zakona o predškolskom odgoju i obrazovanju (Narodne novine, broj</w:t>
      </w:r>
    </w:p>
    <w:p w14:paraId="26AC703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10/97, 107/07 i 94/13, 98/19, 57/22, 101/23), Dječji vrtić „Latica Garčin“ po odluci donesenoj</w:t>
      </w:r>
    </w:p>
    <w:p w14:paraId="405A5B9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 10. sjednici Upravnog vijeća Dječjeg vrtića „Latica Garčin“ održanoj 25.03.2026. (KLASA:</w:t>
      </w:r>
    </w:p>
    <w:p w14:paraId="657815E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601-02/26-06/4, UR BROJ: 2178-6-2-26-4) , objavljuje:</w:t>
      </w:r>
    </w:p>
    <w:p w14:paraId="4AEE2B25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NATJEČAJ</w:t>
      </w:r>
    </w:p>
    <w:p w14:paraId="2DFA028F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B40F2CD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za prijam u radni odnos na radno mjesto odgojitelj/odgojiteljica</w:t>
      </w:r>
    </w:p>
    <w:p w14:paraId="35AF8DEC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- 1 izvršitelj, na određeno puno radno vrijeme - do povratka radnice</w:t>
      </w:r>
    </w:p>
    <w:p w14:paraId="2AE45C7F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5BD2BB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Broj traženih radnika</w:t>
      </w:r>
      <w:r>
        <w:rPr>
          <w:rFonts w:asciiTheme="majorBidi" w:hAnsiTheme="majorBidi" w:cstheme="majorBidi"/>
          <w:sz w:val="24"/>
          <w:szCs w:val="24"/>
        </w:rPr>
        <w:t xml:space="preserve">: 1</w:t>
      </w:r>
    </w:p>
    <w:p w14:paraId="15439C9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Radno vrijeme</w:t>
      </w:r>
      <w:r>
        <w:rPr>
          <w:rFonts w:asciiTheme="majorBidi" w:hAnsiTheme="majorBidi" w:cstheme="majorBidi"/>
          <w:sz w:val="24"/>
          <w:szCs w:val="24"/>
        </w:rPr>
        <w:t xml:space="preserve">: određeno puno radno vrijeme</w:t>
      </w:r>
    </w:p>
    <w:p w14:paraId="5DDB502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Način rada:</w:t>
      </w:r>
      <w:r>
        <w:rPr>
          <w:rFonts w:asciiTheme="majorBidi" w:hAnsiTheme="majorBidi" w:cstheme="majorBidi"/>
          <w:sz w:val="24"/>
          <w:szCs w:val="24"/>
        </w:rPr>
        <w:t xml:space="preserve"> 1.smjena</w:t>
      </w:r>
    </w:p>
    <w:p w14:paraId="419DE4D2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Smještaj:</w:t>
      </w:r>
      <w:r>
        <w:rPr>
          <w:rFonts w:asciiTheme="majorBidi" w:hAnsiTheme="majorBidi" w:cstheme="majorBidi"/>
          <w:sz w:val="24"/>
          <w:szCs w:val="24"/>
        </w:rPr>
        <w:t xml:space="preserve"> Nema smještaja</w:t>
      </w:r>
    </w:p>
    <w:p w14:paraId="6160162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Naknada za prijevoz:</w:t>
      </w:r>
      <w:r>
        <w:rPr>
          <w:rFonts w:asciiTheme="majorBidi" w:hAnsiTheme="majorBidi" w:cstheme="majorBidi"/>
          <w:sz w:val="24"/>
          <w:szCs w:val="24"/>
        </w:rPr>
        <w:t xml:space="preserve"> U cijelosti</w:t>
      </w:r>
    </w:p>
    <w:p w14:paraId="3E3F4D3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Probni rok:</w:t>
      </w:r>
      <w:r>
        <w:rPr>
          <w:rFonts w:asciiTheme="majorBidi" w:hAnsiTheme="majorBidi" w:cstheme="majorBidi"/>
          <w:sz w:val="24"/>
          <w:szCs w:val="24"/>
        </w:rPr>
        <w:t xml:space="preserve"> 1 mjesec</w:t>
      </w:r>
    </w:p>
    <w:p w14:paraId="1D81BF1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58C070F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Opis poslova:</w:t>
      </w:r>
    </w:p>
    <w:p w14:paraId="37F7850B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prati i procjenjuje aktualne djetetove potrebe, pravodobnost i kvalitetu njihova</w:t>
      </w:r>
    </w:p>
    <w:p w14:paraId="2DB7D27C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zadovoljavanja,</w:t>
      </w:r>
    </w:p>
    <w:p w14:paraId="0012B093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kreira vremenski, materijalni i prostorni kontekst za povoljan razvoj djeteta,</w:t>
      </w:r>
    </w:p>
    <w:p w14:paraId="680C9C7D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odabire adekvatne odgojno vrijedne sadržaje u skladu s uočenim potrebama,</w:t>
      </w:r>
    </w:p>
    <w:p w14:paraId="46DC643E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mogućnostima i interesima djece,</w:t>
      </w:r>
    </w:p>
    <w:p w14:paraId="0FFE772B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pronalazi mogućnosti za obogaćivanje doživljaja djece (u dječjem vrtiću i izvan dječjeg</w:t>
      </w:r>
    </w:p>
    <w:p w14:paraId="302E5B87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vrtića),</w:t>
      </w:r>
    </w:p>
    <w:p w14:paraId="6C21D43D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individualno radi s djecom koja imaju posebne potrebe,</w:t>
      </w:r>
    </w:p>
    <w:p w14:paraId="68D819F9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prati i procjenjuje uspješnost u realizaciji zacrtanih zadaća,</w:t>
      </w:r>
    </w:p>
    <w:p w14:paraId="4569625D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planira i organizira različite oblike suradnje s roditeljima (radionice, kutić za roditelje,</w:t>
      </w:r>
    </w:p>
    <w:p w14:paraId="76EF5BC1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izbor stručne literature, pisani stručni materijali o životu i djelatnosti djece u vrtiću),</w:t>
      </w:r>
    </w:p>
    <w:p w14:paraId="579FF060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pomaže roditeljima u prevladavanju teškoća u prilagodbi djece te uključivanju u</w:t>
      </w:r>
    </w:p>
    <w:p w14:paraId="2DD5770E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odgojno-obrazovni proces,</w:t>
      </w:r>
    </w:p>
    <w:p w14:paraId="7145284D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potiče roditelje na sudjelovanje u kreiranju programa,</w:t>
      </w:r>
    </w:p>
    <w:p w14:paraId="6E3F8F3B">
      <w:pPr>
        <w:spacing w:line="276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individualno razgovara s roditeljima o odgojnim postupcima za zadovoljavanje potreba 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interesa djeteta i roditelja,</w:t>
      </w:r>
    </w:p>
    <w:p w14:paraId="1766A9E5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izrađuje program individualnog stručnog usavršavanja,</w:t>
      </w:r>
    </w:p>
    <w:p w14:paraId="5890798D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prati stručnu literaturu,</w:t>
      </w:r>
    </w:p>
    <w:p w14:paraId="3993FB60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aktivno se uključuje u edukacije koje organizira dječji vrtić i druge institucije,</w:t>
      </w:r>
    </w:p>
    <w:p w14:paraId="7D1F73F4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prezentira dostignuća vlastite prakse i dječjeg vrtića,</w:t>
      </w:r>
    </w:p>
    <w:p w14:paraId="3AB04EED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planira i realizira suradnju s osnovnim školama, vjerskim institucijama, kulturnim i</w:t>
      </w:r>
    </w:p>
    <w:p w14:paraId="18D0BA88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umjetničkim institucijama, ekološkim organizacijama i drugim čimbenicima koji</w:t>
      </w:r>
    </w:p>
    <w:p w14:paraId="52C49AEA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pridonose obogaćivanju odgojno-obrazovnog rada,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ECE6AB1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prikuplja i obrađuje i dostavlja potrebne podatke u svezi s radom i poslovanje</w:t>
      </w:r>
    </w:p>
    <w:p w14:paraId="0FDFD122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(evidencije o nazočnosti djece, brojna stanja djece i drugo po nalogu ravnatelja),</w:t>
      </w:r>
    </w:p>
    <w:p w14:paraId="1866CE1C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sustavno pratiti, bilježi i unapređuje stručni rad s djecom predškolskog uzrasta i s</w:t>
      </w:r>
    </w:p>
    <w:p w14:paraId="3AFDC9F6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roditeljima,</w:t>
      </w:r>
    </w:p>
    <w:p w14:paraId="3539A847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propituje i unapređuje rad s djecom s teškoćama u razvoju, istražuje i pronalazi</w:t>
      </w:r>
    </w:p>
    <w:p w14:paraId="7FF97153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kvalitetnija rješenja,</w:t>
      </w:r>
    </w:p>
    <w:p w14:paraId="1F7D6C93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aktivno sudjeluje u izradi kurikula dječjeg vrtića,</w:t>
      </w:r>
    </w:p>
    <w:p w14:paraId="053360B0">
      <w:pPr>
        <w:spacing w:line="276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predlaže, unosi kvalitetne i stručne promjene u ostvarivanje Godišnjeg plana i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programa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dječjeg vrtića,</w:t>
      </w:r>
    </w:p>
    <w:p w14:paraId="1F1102D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  <w:t xml:space="preserve"/>
      </w:r>
      <w:r>
        <w:rPr>
          <w:rFonts w:asciiTheme="majorBidi" w:hAnsiTheme="majorBidi" w:cstheme="majorBidi"/>
          <w:sz w:val="24"/>
          <w:szCs w:val="24"/>
        </w:rPr>
        <w:t xml:space="preserve">- snimanje, prezentacija i unapređivanje odgojne prakse odgojitelja u svrhu,</w:t>
      </w:r>
    </w:p>
    <w:p w14:paraId="6AA72089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podizanja kvalitete suvremenog pristupa,</w:t>
      </w:r>
    </w:p>
    <w:p w14:paraId="6F735670">
      <w:pPr>
        <w:spacing w:line="276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obavlja i druge poslove po nalogu voditelja i ravnatelja, a koji nisu predviđeni ovim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opisom i popisom poslova.</w:t>
      </w:r>
    </w:p>
    <w:p w14:paraId="44DC77AD">
      <w:pPr>
        <w:spacing w:line="276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</w:p>
    <w:p w14:paraId="36C7FC4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 natječaj se pod ravnopravnim uvjetima mogu prijaviti osobe oba spola.</w:t>
      </w:r>
    </w:p>
    <w:p w14:paraId="3124FCF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Izrazi koji se koriste u ovom natječaju su neutralni i odnose se na muške i ženske osobe.</w:t>
      </w:r>
    </w:p>
    <w:p w14:paraId="73086D48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Uvjeti za prijam u radni odnos:</w:t>
      </w:r>
    </w:p>
    <w:p w14:paraId="771486D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Kandidati koji se prijavljuju na natječaj, uz opće uvjete za zasnivanje radnog odnosa, trebaju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ispunjavati i posebne uvjete sukladno člancima 24. i 25. Zakona o predškolskom odgoju 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obrazovanju („Narodne novine“ broj 10/97, 107/07, 94/13, 98/19, 57/22 i 101/23) i članku 2.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stavku 1. Pravilnika o vrsti stručne spreme stručnih djelatnika te vrsti i stupnju stručne spreme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ostalih djelatnika u vrtiću („Narodne novine“ broj 133/97)</w:t>
      </w:r>
    </w:p>
    <w:p w14:paraId="6984CF3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Poslove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odgojitelja/odgojiteljice</w:t>
      </w:r>
      <w:r>
        <w:rPr>
          <w:rFonts w:asciiTheme="majorBidi" w:hAnsiTheme="majorBidi" w:cstheme="majorBidi"/>
          <w:sz w:val="24"/>
          <w:szCs w:val="24"/>
        </w:rPr>
        <w:t xml:space="preserve"> djece od navršenih šest mjeseci života do polaska u osnovnu</w:t>
      </w:r>
    </w:p>
    <w:p w14:paraId="270DB84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školu može obavljati osoba koja je završila studij odgovarajuće vrste za rad na radnome mjestu</w:t>
      </w:r>
    </w:p>
    <w:p w14:paraId="5462A8E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odgojitelja, a koji može biti:</w:t>
      </w:r>
    </w:p>
    <w:p w14:paraId="67F7439E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a) prijediplomski sveučilišni studij,</w:t>
      </w:r>
    </w:p>
    <w:p w14:paraId="13E9F518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b) prijediplomski stručni studij,</w:t>
      </w:r>
    </w:p>
    <w:p w14:paraId="116C5464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c) studij kojim je stečena viša stručna sprema u skladu s ranijim propisima,</w:t>
      </w:r>
    </w:p>
    <w:p w14:paraId="03EE3C6D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d) diplomski sveučilišni studij,</w:t>
      </w:r>
    </w:p>
    <w:p w14:paraId="6590C8A2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e) specijalistički diplomski stručni studij.</w:t>
      </w:r>
    </w:p>
    <w:p w14:paraId="7E6DE10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7A53B63">
      <w:pP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Uz vlastoručno potpisanu pisanu molbu, kandidati su dužni priložiti sljedeću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dokumentaciju u preslici:</w:t>
      </w:r>
    </w:p>
    <w:p w14:paraId="78E420D3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životopis (vlastoručno potpisan)</w:t>
      </w:r>
    </w:p>
    <w:p w14:paraId="62CC3304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dokaz o stečenoj stručnoj spremi (preslika diplome)</w:t>
      </w:r>
    </w:p>
    <w:p w14:paraId="4ECDFDBD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dokaz o hrvatskom državljanstvu</w:t>
      </w:r>
    </w:p>
    <w:p w14:paraId="4F8C1AF8">
      <w:pPr>
        <w:spacing w:line="276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dokaz o položenom stručnom ispitu (ukoliko ga kandidat posjeduje)</w:t>
      </w:r>
    </w:p>
    <w:p w14:paraId="33452065">
      <w:pPr>
        <w:spacing w:line="276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dokaz o radno-pravnom statusu (elektronički zapis o podacima evidentiranim u matičnoj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evidenciji Hrvatskog zavoda za mirovinsko osiguranje (ne starije od 30 dana)</w:t>
      </w:r>
    </w:p>
    <w:p w14:paraId="4235C622">
      <w:pPr>
        <w:spacing w:line="276" w:lineRule="auto"/>
        <w:ind w:left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dokaz o nepostojanju zapreka za zasnivanje radnog odnosa sukladno čl.25. Zakona 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predškolskom odgoju i obrazovanju (ne starije od 30 dana):</w:t>
      </w:r>
    </w:p>
    <w:p w14:paraId="23FEF0AD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345D12B">
      <w:pPr>
        <w:spacing w:line="276" w:lineRule="auto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1. uvjerenje nadležnog suda da se protiv kandidata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ne vodi kazneni postupak</w:t>
      </w:r>
      <w:r>
        <w:rPr>
          <w:rFonts w:asciiTheme="majorBidi" w:hAnsiTheme="majorBidi" w:cstheme="majorBidi"/>
          <w:sz w:val="24"/>
          <w:szCs w:val="24"/>
        </w:rPr>
        <w:t xml:space="preserve"> (čl.25.st.2. Zakona o predškolskom odgoju i obrazovanju 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ne starije od 30 dana</w:t>
      </w:r>
    </w:p>
    <w:p w14:paraId="1128DF2A">
      <w:pPr>
        <w:spacing w:line="276" w:lineRule="auto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2. uvjerenje nadležnog suda da se protiv kandidata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ne vodi prekršajni postupak</w:t>
      </w:r>
      <w:r>
        <w:rPr>
          <w:rFonts w:asciiTheme="majorBidi" w:hAnsiTheme="majorBidi" w:cstheme="majorBidi"/>
          <w:sz w:val="24"/>
          <w:szCs w:val="24"/>
        </w:rPr>
        <w:t xml:space="preserve"> (čl.25.st.4. Zakona o predškolskom odgoju i obrazovanju) 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starije od 30 dana</w:t>
      </w:r>
    </w:p>
    <w:p w14:paraId="1E063D9A">
      <w:pPr>
        <w:spacing w:line="276" w:lineRule="auto"/>
        <w:ind w:left="708"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3. potvrda Hrvatskog zavoda za socijalni rad da protiv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kandidata nisu izrečene mjere za zaštitu dobrobiti djeteta </w:t>
      </w:r>
      <w:r>
        <w:rPr>
          <w:rFonts w:asciiTheme="majorBidi" w:hAnsiTheme="majorBidi" w:cstheme="majorBidi"/>
          <w:sz w:val="24"/>
          <w:szCs w:val="24"/>
        </w:rPr>
        <w:t xml:space="preserve">(čl. 25. st.10. Zakona 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predškolskom odgoju i obrazovanju) ne starije od 30 dana</w:t>
      </w:r>
    </w:p>
    <w:p w14:paraId="7075EE0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739350B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Dokaz o zdravstvenoj sposobnosti za obavljanje poslova predloženi kandidati su dužni</w:t>
      </w:r>
    </w:p>
    <w:p w14:paraId="68B4D15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dostaviti prije potpisivanja ugovora o radu.</w:t>
      </w:r>
    </w:p>
    <w:p w14:paraId="504DD2B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Isprave i dokazi prilažu se u neovjerenoj preslici.</w:t>
      </w:r>
    </w:p>
    <w:p w14:paraId="5499866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Dokaze u izvorniku/ovjerenoj preslici predloženi kandidat prilaže prije sklapanja ugovora o</w:t>
      </w:r>
    </w:p>
    <w:p w14:paraId="20C6FC8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radu. Ukoliko kandidat uz prijavu priloži dokumente u kojima osobni podaci nisu istovjetni,</w:t>
      </w:r>
    </w:p>
    <w:p w14:paraId="0E29C27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dužan je dostaviti i dokaze o njihovoj promjeni (rodni list, vjenčani list).</w:t>
      </w:r>
    </w:p>
    <w:p w14:paraId="79151C6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Ako kandidat ostvaruje pravo prednosti pri zapošljavanju prema posebnom zakonu, dužan je u</w:t>
      </w:r>
      <w:r>
        <w:rPr>
          <w:rFonts w:asciiTheme="majorBidi" w:hAnsiTheme="majorBidi" w:cstheme="majorBidi"/>
          <w:sz w:val="24"/>
          <w:szCs w:val="24"/>
        </w:rPr>
        <w:t xml:space="preserve"> p</w:t>
      </w:r>
      <w:r>
        <w:rPr>
          <w:rFonts w:asciiTheme="majorBidi" w:hAnsiTheme="majorBidi" w:cstheme="majorBidi"/>
          <w:sz w:val="24"/>
          <w:szCs w:val="24"/>
        </w:rPr>
        <w:t xml:space="preserve">rijavi pozvati se na to pravo i ima prednost u odnosu na ostale kandidate samo pod jednakim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uvjetima. Kandidat koji ostvaruje pravo prednosti pri zapošljavanju dužan je uz prijavu na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natječaj priložiti svu propisanu dokumentaciju odnosno dokaze prema posebnom zakonu kao 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rješenje ili potvrdu o priznatom statusu, potvrdu o nezaposlenosti Hrvatskog zavoda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zapošljavanje izdanom u vrijeme trajanja natječaja te dokaz iz kojeg je vidljivo na koji način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je prestao radni odnos kod prethodnog poslodavca (rješenje, odluka, obavijest i sl.).</w:t>
      </w:r>
    </w:p>
    <w:p w14:paraId="5BDB6DD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Ako kandidat ostvaruje pravo prednosti pri zapošljavanju prema posebnom zakonu, dužan je 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prijavi pozvati se na to pravo i ima prednost u odnosu na ostale kandidate samo pod jednakim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uvjetima. Kandidat koji ostvaruje pravo prednosti pri zapošljavanju dužan je uz prijavu na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natječaj priložiti svu propisanu dokumentaciju odnosno dokaze prema posebnom zakonu kao 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rješenje ili potvrdu o priznatom statusu, potvrdu o nezaposlenosti Hrvatskog zavoda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zapošljavanje izdanom u vrijeme trajanja natječaja te dokaz iz kojeg je vidljivo na koji način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je prestao radni odnos kod prethodnog poslodavca (rješenje, odluka, obavijest i sl.).</w:t>
      </w:r>
    </w:p>
    <w:p w14:paraId="0C10BAB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F0A2856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 koji se poziva na pravo prednosti temeljem članka 102. Zakona o hrvatskim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braniteljima iz Domovinskog rata i članovima njihovih obitelji („Narodne novine“ broj: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121/17, 98/19 i 84/21) dužan je uz prijavu na natječaj osim dokaza o ispunjavanju uvjeta iz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natječaja priložiti i sve potrebne dokaze iz članka 103. citiranog Zakona navedene na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internetskoj stranici Ministarstva hrvatskih branitelja Republike Hrvatske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>
        <w:rPr/>
        <w:fldChar w:fldCharType="begin"/>
      </w:r>
      <w:r>
        <w:rPr/>
        <w:instrText xml:space="preserve">HYPERLINK "https://branitelji.gov.hr/zaposljavanje843/843IiI" </w:instrText>
      </w:r>
      <w:r>
        <w:rPr/>
        <w:fldChar w:fldCharType="separate"/>
      </w:r>
      <w:r>
        <w:rPr>
          <w:rStyle w:val="Hiperveza"/>
          <w:rFonts w:asciiTheme="majorBidi" w:hAnsiTheme="majorBidi" w:cstheme="majorBidi"/>
          <w:sz w:val="24"/>
          <w:szCs w:val="24"/>
        </w:rPr>
        <w:t xml:space="preserve">https://branitelji.gov.hr/zaposljavanje843/843IiI</w:t>
      </w:r>
      <w:r>
        <w:rPr/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</w:t>
      </w:r>
    </w:p>
    <w:p w14:paraId="13BA18E0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poveznici: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https://branitelji.gov.hr/UserDocsImages//dokumenti/Nikola//popis%20dokaza%20</w:t>
      </w:r>
    </w:p>
    <w:p w14:paraId="6559149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za%20ostvarivanje%20prava%20prednosti%20pri%20zapo%C5%A1ljavanju-</w:t>
      </w:r>
    </w:p>
    <w:p w14:paraId="673AFC2A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%20ZOHBDR%202021.pdf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1243877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 koji se poziva na pravo prednosti pri zapošljavanju sukladno članku 9. Zakona 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profesionalnoj rehabilitaciji i zapošljavanju osoba s invaliditetom („Narodne novine“ broj: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157/13, 152/14, 39/18 i 32/20), dužan je uz prijavu na natječaj priložiti svu propisanu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dokumentaciju, odnosno dokaze o ispunjavanju traženih uvjeta, kao i dokaz o invaliditetu.</w:t>
      </w:r>
    </w:p>
    <w:p w14:paraId="43B11FD2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4973110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 koji se poziva na pravo prednosti pri zapošljavanju sukladno članku 48. stavak 1. do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3. Zakona o civilnim stradalnicima iz Domovinskog rata („Narodne novine“ broj: 84/21)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dužan je uz prijavu na natječaj priložiti svu propisanu dokumentaciju, odnosno dokaze 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ispunjavanju traženih uvjeta sukladno članku 49. citiranog Zakona. Poveznica na internetsku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stranicu Ministarstva hrvatskih branitelja Republike Hrvatske: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https://branitelji.gov.hr/zaposljavanje843/843, a dodatne informacije o dokazima koji su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potrebni za ostvarivanje prava prednosti pri zapošljavanju, potražiti na slijedećoj poveznici: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"https://branitelji.gov.hr/UserDocsImages/dokumenti/Nikola/popis%20dokaza%20za%20ostva" </w:instrText>
      </w:r>
      <w:r>
        <w:rPr/>
        <w:fldChar w:fldCharType="separate"/>
      </w:r>
      <w:r>
        <w:rPr>
          <w:rStyle w:val="Hiperveza"/>
          <w:rFonts w:asciiTheme="majorBidi" w:hAnsiTheme="majorBidi" w:cstheme="majorBidi"/>
          <w:sz w:val="24"/>
          <w:szCs w:val="24"/>
        </w:rPr>
        <w:t xml:space="preserve">https://branitelji.gov.hr/UserDocsImages/dokumenti/Nikola/popis%20dokaza%20za%20ostva</w:t>
      </w:r>
      <w:r>
        <w:rPr/>
        <w:fldChar w:fldCharType="end"/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rivanj%20prava%20prednosti%20pri%20zapo%C5%A1ljavanju%20Zakon%20o%20civilnim%20stradalnicima%20iz%20DR.pdf</w:t>
      </w:r>
    </w:p>
    <w:p w14:paraId="0741ED1C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722480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 koji se poziva na pravo prednosti pri zapošljavanju u skladu sa Zakonom o zaštiti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vojnih i civilnih invalida rata (Narodne novine broj 33/92, 57/92, 77/92, 27/93, 58/93, 2/94,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76/94, 108/95, 108/96, 82/01, 103/03, 148/13, 98/19), uz prijavu na natječaj dužan je, osim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dokaza o ispunjavanju traženih uvjeta, priložiti i rješenje, odnosno potvrdu iz koje je vidljivo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spomenuto pravo, te dokaz o tome na koji način je prestao radni odnos.</w:t>
      </w:r>
    </w:p>
    <w:p w14:paraId="4930F387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DEB2939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Prijavom na natječaj kandidati daju izričitu privolu za prikupljanje, korištenje i obradu svih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osobnih podataka, isključivo u svrhu provođenja natječajnog postupka, sve sukladno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odredbama Uredbe (EU) 2016/679 Europskog parlamenta i Vijeća od 27.travnja 2018. godine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o zaštiti pojedinaca u svezi s obradom osobnih podataka i slobodnog kretanja takvih podataka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kao i ostalim propisima koji uređuju područje zaštite osobnih podataka te se smatra se da su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prijava i priloženi dokumenti dostavljeni slobodnom voljom kandidata.</w:t>
      </w:r>
    </w:p>
    <w:p w14:paraId="4DECD0F5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Isprave i dokazi prilažu se u neovjerenoj preslici. Dokazi u izvorniku predloženi kandidat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prilaže prije sklapanja ugovora o radu.</w:t>
      </w:r>
    </w:p>
    <w:p w14:paraId="1119245E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Urednom prijavom smatra se prijava koja sadrži sve podatke i priloge navedene u tekstu ovog</w:t>
      </w:r>
    </w:p>
    <w:p w14:paraId="0C94EA11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natječaja.</w:t>
      </w:r>
    </w:p>
    <w:p w14:paraId="47E43F5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Natječajna dokumentacija neće se vraćati kandidatima.</w:t>
      </w:r>
    </w:p>
    <w:p w14:paraId="1A5E595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Nepotpune i nepravovremene prijave neće se razmatrati.</w:t>
      </w:r>
    </w:p>
    <w:p w14:paraId="3096916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Prijave se podnose isključivo preporučeno poštom ili osobno (od 9:00-13:00 sati), u</w:t>
      </w:r>
    </w:p>
    <w:p w14:paraId="1B54459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zatvorenoj omotnici, u sjedište Dječjeg vrtića „Latica Garčin“, u roku  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8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dana</w:t>
      </w:r>
      <w:r>
        <w:rPr>
          <w:rFonts w:asciiTheme="majorBidi" w:hAnsiTheme="majorBidi" w:cstheme="majorBidi"/>
          <w:sz w:val="24"/>
          <w:szCs w:val="24"/>
        </w:rPr>
        <w:t xml:space="preserve"> od dana</w:t>
      </w:r>
    </w:p>
    <w:p w14:paraId="0AFE049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objave natječaja na mrežnim stranicama i oglasnim pločama Hrvatskog zavoda za</w:t>
      </w:r>
    </w:p>
    <w:p w14:paraId="4E03468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zapošljavanje na adresu:</w:t>
      </w:r>
    </w:p>
    <w:p w14:paraId="6EB4DCC3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B86287E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DJEČJI VRTIĆ „LATICA GARČIN“, Put Surevice 4, 35212 Garčin,</w:t>
      </w:r>
    </w:p>
    <w:p w14:paraId="54CC22CB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 naznakom:  «NE OTVARAJ –  za natječaj odgojitelj/odgojiteljica »</w:t>
      </w:r>
    </w:p>
    <w:p w14:paraId="365FA85A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ECA6009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Povjerenstvo za provedbu javnog natječaja (u nastavku teksta: Povjerenstvo) imenuje</w:t>
      </w:r>
    </w:p>
    <w:p w14:paraId="04D2FCD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ravnateljica Dječjeg vrtića „Latica Garčin“. Povjerenstvo utvrđuje popis kandidata</w:t>
      </w:r>
    </w:p>
    <w:p w14:paraId="2D3B3141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prijavljenih na javni natječaj koji ispunjavaju formalne uvjete.</w:t>
      </w:r>
    </w:p>
    <w:p w14:paraId="52DD6055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Za kandidate koji ispunjavaju formalne uvjete natječaja Dječji vrtić „Latica Garčin“ zadržava</w:t>
      </w:r>
    </w:p>
    <w:p w14:paraId="11C56EEE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pravo provođenja provjere znanja i vještina intervjuom. O održavanju intervjua kandidati će</w:t>
      </w:r>
    </w:p>
    <w:p w14:paraId="5E3D4FF7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biti obaviješteni najkasnije 5 dana prije održavanja istog. Ako kandidat ne pristupi intervjuu,</w:t>
      </w:r>
    </w:p>
    <w:p w14:paraId="713196B6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smatra se da je povukao svoju prijavu.</w:t>
      </w:r>
    </w:p>
    <w:p w14:paraId="166FB81C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Kandidati će o rezultatima Natječaja biti obaviješteni u zakonskom roku putem službene web</w:t>
      </w:r>
    </w:p>
    <w:p w14:paraId="5A26F2BB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stranice Dječjeg vrtića „Latica Garčin“: </w:t>
      </w:r>
      <w:r>
        <w:rPr/>
        <w:fldChar w:fldCharType="begin"/>
      </w:r>
      <w:r>
        <w:rPr/>
        <w:instrText xml:space="preserve">HYPERLINK "https://www.latica-garcin.hr/" </w:instrText>
      </w:r>
      <w:r>
        <w:rPr/>
        <w:fldChar w:fldCharType="separate"/>
      </w:r>
      <w:r>
        <w:rPr>
          <w:rStyle w:val="Hiperveza"/>
          <w:rFonts w:asciiTheme="majorBidi" w:hAnsiTheme="majorBidi" w:cstheme="majorBidi"/>
          <w:sz w:val="24"/>
          <w:szCs w:val="24"/>
        </w:rPr>
        <w:t xml:space="preserve">https://www.latica-garcin.hr/</w:t>
      </w:r>
      <w:r>
        <w:rPr/>
        <w:fldChar w:fldCharType="end"/>
      </w:r>
    </w:p>
    <w:p w14:paraId="53DECF14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Dječji vrtić „Latica Garčin“ zadržava pravo poništiti natječaj ili ne prihvatiti niti jednu</w:t>
      </w:r>
    </w:p>
    <w:p w14:paraId="25BB1027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ponudu bez obrazlaganja razloga poništenja ili neprihvaćanja.</w:t>
      </w:r>
    </w:p>
    <w:p w14:paraId="14677280">
      <w:pPr>
        <w:spacing w:line="276" w:lineRule="auto"/>
        <w:rPr>
          <w:rFonts w:asciiTheme="majorBidi" w:hAnsiTheme="majorBidi" w:cstheme="majorBidi"/>
          <w:sz w:val="24"/>
          <w:szCs w:val="24"/>
        </w:rPr>
      </w:pPr>
    </w:p>
    <w:p w14:paraId="5FA0532B">
      <w:p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Natječaj je objavljen dana 0</w:t>
      </w:r>
      <w:r>
        <w:rPr>
          <w:rFonts w:asciiTheme="majorBidi" w:hAnsiTheme="majorBidi" w:cstheme="majorBidi"/>
          <w:sz w:val="24"/>
          <w:szCs w:val="24"/>
        </w:rPr>
        <w:t xml:space="preserve">8</w:t>
      </w:r>
      <w:r>
        <w:rPr>
          <w:rFonts w:asciiTheme="majorBidi" w:hAnsiTheme="majorBidi" w:cstheme="majorBidi"/>
          <w:sz w:val="24"/>
          <w:szCs w:val="24"/>
        </w:rPr>
        <w:t xml:space="preserve">. travnja 2026. i važi do 1</w:t>
      </w:r>
      <w:r>
        <w:rPr>
          <w:rFonts w:asciiTheme="majorBidi" w:hAnsiTheme="majorBidi" w:cstheme="majorBidi"/>
          <w:sz w:val="24"/>
          <w:szCs w:val="24"/>
        </w:rPr>
        <w:t xml:space="preserve">6</w:t>
      </w:r>
      <w:r>
        <w:rPr>
          <w:rFonts w:asciiTheme="majorBidi" w:hAnsiTheme="majorBidi" w:cstheme="majorBidi"/>
          <w:sz w:val="24"/>
          <w:szCs w:val="24"/>
        </w:rPr>
        <w:t xml:space="preserve">. travnja 2026.godine.</w:t>
      </w:r>
    </w:p>
    <w:p w14:paraId="24A37B1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3561AF4">
      <w:pP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U Garčinu, 0</w:t>
      </w:r>
      <w:r>
        <w:rPr>
          <w:rFonts w:asciiTheme="majorBidi" w:hAnsiTheme="majorBidi" w:cstheme="majorBidi"/>
          <w:sz w:val="24"/>
          <w:szCs w:val="24"/>
        </w:rPr>
        <w:t xml:space="preserve">8</w:t>
      </w:r>
      <w:r>
        <w:rPr>
          <w:rFonts w:asciiTheme="majorBidi" w:hAnsiTheme="majorBidi" w:cstheme="majorBidi"/>
          <w:sz w:val="24"/>
          <w:szCs w:val="24"/>
        </w:rPr>
        <w:t xml:space="preserve">. travnja 2026.</w:t>
      </w:r>
    </w:p>
    <w:p w14:paraId="1954AF3A">
      <w:pPr>
        <w:spacing w:line="276" w:lineRule="auto"/>
        <w:ind w:left="4248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Ravnateljica Dječjeg vrtića „Latica Garčin“:</w:t>
      </w:r>
    </w:p>
    <w:p w14:paraId="60D2FA77">
      <w:pPr>
        <w:spacing w:line="276" w:lineRule="auto"/>
        <w:ind w:left="4248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Ankica Bitunjac, mag. praesc. educ.</w:t>
      </w:r>
    </w:p>
    <w:p w14:paraId="014B1AD4">
      <w:pPr>
        <w:spacing w:line="276" w:lineRule="auto"/>
        <w:ind w:left="4248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__________________________________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01AFC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9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 w:bidi="ar-SA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2F5496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2F5496"/>
      <w:sz w:val="32"/>
      <w:szCs w:val="32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eastAsiaTheme="majorEastAsia" w:cstheme="majorBidi"/>
      <w:color w:val="2F5496"/>
      <w:sz w:val="28"/>
      <w:szCs w:val="28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eastAsiaTheme="majorEastAsia" w:cstheme="majorBidi"/>
      <w:i/>
      <w:iCs/>
      <w:color w:val="2F5496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eastAsiaTheme="majorEastAsia" w:cstheme="majorBidi"/>
      <w:color w:val="2F5496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eastAsiaTheme="majorEastAsia" w:cstheme="majorBidi"/>
      <w:i/>
      <w:iCs/>
      <w:color w:val="595959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eastAsiaTheme="majorEastAsia" w:cstheme="majorBidi"/>
      <w:color w:val="595959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eastAsiaTheme="majorEastAsia" w:cstheme="majorBidi"/>
      <w:i/>
      <w:iCs/>
      <w:color w:val="272727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eastAsiaTheme="majorEastAsia" w:cstheme="majorBidi"/>
      <w:color w:val="272727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/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PodnaslovChar" w:customStyle="1">
    <w:name w:val="Podnaslov Char"/>
    <w:basedOn w:val="Zadanifontodlomka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404040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Jakoisticanje" w:customStyle="1">
    <w:name w:val="Intense Emphasis"/>
    <w:basedOn w:val="Zadanifontodlomka"/>
    <w:uiPriority w:val="21"/>
    <w:qFormat/>
    <w:rPr>
      <w:i/>
      <w:iCs/>
      <w:color w:val="2F549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i/>
      <w:iCs/>
      <w:color w:val="2F5496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2F5496"/>
      <w:spacing w:val="5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15</TotalTime>
  <Pages>6</Pages>
  <Words>1800</Words>
  <Characters>10266</Characters>
  <Application>Microsoft Office Word</Application>
  <DocSecurity>0</DocSecurity>
  <Lines>85</Lines>
  <Paragraphs>24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Latica Garčin Psiholog</dc:creator>
  <cp:keywords/>
  <dc:description/>
  <cp:lastModifiedBy>DV Latica Garčin Psiholog</cp:lastModifiedBy>
  <cp:revision>5</cp:revision>
  <dcterms:created xsi:type="dcterms:W3CDTF">2026-04-01T09:14:00Z</dcterms:created>
  <dcterms:modified xsi:type="dcterms:W3CDTF">2026-04-08T05:51:00Z</dcterms:modified>
</cp:coreProperties>
</file>