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45007">
      <w:pPr>
        <w:spacing w:line="360" w:lineRule="auto"/>
        <w:jc w:val="both"/>
        <w:rPr>
          <w:sz w:val="24"/>
          <w:szCs w:val="24"/>
        </w:rPr>
      </w:pPr>
    </w:p>
    <w:p w14:paraId="028EC5AF">
      <w:pPr>
        <w:spacing w:line="360" w:lineRule="auto"/>
        <w:jc w:val="both"/>
        <w:rPr>
          <w:sz w:val="24"/>
          <w:szCs w:val="24"/>
        </w:rPr>
      </w:pPr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1733550</wp:posOffset>
                </wp:positionH>
                <wp:positionV relativeFrom="paragraph">
                  <wp:posOffset>9525</wp:posOffset>
                </wp:positionV>
                <wp:extent cx="3362325" cy="1104900"/>
                <wp:wrapNone/>
                <wp:docPr id="1" name="Tekstni okvir 3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6350">
                          <a:prstDash val="solid"/>
                          <rou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Dječji vrtić „Latica Garčin“</w:t>
                            </w:r>
                          </w:p>
                          <w:p>
                            <w:pPr>
                              <w:pBdr/>
                              <w:spacing/>
                              <w:jc w:val="center"/>
                              <w:rPr>
                                <w:rStyle w:val="Hipervez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Put Surevice 4,  35 212 Garčin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Style w:val="Hiperveza"/>
                                <w:sz w:val="28"/>
                                <w:szCs w:val="28"/>
                              </w:rPr>
                              <w:t xml:space="preserve">dv@latica-garcin.hr</w:t>
                            </w:r>
                          </w:p>
                          <w:p>
                            <w:pPr>
                              <w:pBdr/>
                              <w: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type="#_x0000_t202" style="position:absolute;margin-left:136.5pt;margin-top:0.75pt;width:264.75pt;height:87pt;z-index:251659264;mso-position-horizontal-relative:margin;v-text-anchor:top;mso-wrap-distance-left:9pt;mso-wrap-distance-top:0pt;mso-wrap-distance-right:9pt;mso-wrap-distance-bottom:0pt;mso-wrap-style:square;position:absolute;left:0;text-align:left" fillcolor="#FFFFFF" strokecolor="#000000" strokeweight="0.5pt" stroked="f">
                <v:textbox style="" inset="7.2pt,3.6pt,7.2pt,3.6pt">
                  <w:txbxContent>
                    <w:p>
                      <w:pPr>
                        <w:pBdr/>
                        <w:spacing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Dječji vrtić „Latica Garčin“</w:t>
                      </w:r>
                    </w:p>
                    <w:p>
                      <w:pPr>
                        <w:pBdr/>
                        <w:spacing/>
                        <w:jc w:val="center"/>
                        <w:rPr>
                          <w:rStyle w:val="Hiperveza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Put Surevice 4,  35 212 Garčin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rStyle w:val="Hiperveza"/>
                          <w:sz w:val="28"/>
                          <w:szCs w:val="28"/>
                        </w:rPr>
                        <w:t xml:space="preserve">dv@latica-garcin.hr</w:t>
                      </w:r>
                    </w:p>
                    <w:p>
                      <w:pPr>
                        <w:pBdr/>
                        <w:spacing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hr-HR"/>
        </w:rPr>
        <w:drawing>
          <wp:inline>
            <wp:extent cx="1228725" cy="1236039"/>
            <wp:effectExtent xmlns:wp="http://schemas.openxmlformats.org/drawingml/2006/wordprocessingDrawing" l="0" t="0" r="0" b="2540"/>
            <wp:docPr id="2" descr="Slika na kojoj se prikazuje cvijet, crtić&#10;&#10;Sadržaj generiran umjetnom inteligencijom može biti netočan.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98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864"/>
        <w:gridCol w:w="4030"/>
      </w:tblGrid>
      <w:tr>
        <w:trPr>
          <w:trHeight w:val="1958" w:hRule="atLeast"/>
        </w:trPr>
        <w:tc>
          <w:tcPr>
            <w:tcW w:type="dxa" w:w="5864"/>
            <w:tcBorders/>
          </w:tcPr>
          <w:p>
            <w:pPr>
              <w:spacing w:after="160"/>
              <w:rPr>
                <w:rFonts w:asciiTheme="majorBidi" w:hAnsiTheme="majorBidi" w:cstheme="majorBidi"/>
              </w:rPr>
            </w:pPr>
            <w:bookmarkStart w:id="2" w:name="_Hlk128748807"/>
          </w:p>
          <w:p>
            <w:pPr>
              <w:spacing w:after="160"/>
              <w:rPr/>
            </w:pPr>
            <w:r>
              <w:rPr>
                <w:rFonts w:asciiTheme="majorBidi" w:hAnsiTheme="majorBidi" w:cstheme="majorBidi"/>
              </w:rPr>
              <w:t xml:space="preserve">KLASA: </w:t>
            </w:r>
            <w:r>
              <w:rPr>
                <w:rFonts w:asciiTheme="majorBidi" w:hAnsiTheme="majorBidi" w:cstheme="majorBidi"/>
                <w:noProof/>
                <w:lang w:val="en-US"/>
              </w:rPr>
              <w:t xml:space="preserve">112-01/26-01/4</w:t>
            </w:r>
            <w:r>
              <w:rPr>
                <w:rFonts w:asciiTheme="majorBidi" w:hAnsiTheme="majorBidi" w:cstheme="majorBid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Theme="majorBidi" w:hAnsiTheme="majorBidi" w:cstheme="majorBidi"/>
                <w:noProof/>
              </w:rPr>
              <w:t xml:space="preserve">2178-6-2-26-1</w:t>
            </w:r>
            <w:r>
              <w:rPr>
                <w:rFonts w:asciiTheme="majorBidi" w:hAnsiTheme="majorBidi" w:cstheme="majorBidi"/>
              </w:rPr>
              <w:t xml:space="preserve">                                                                                                          Garčin,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8</w:t>
            </w:r>
            <w:r>
              <w:rPr>
                <w:rFonts w:asciiTheme="majorBidi" w:hAnsiTheme="majorBidi" w:cstheme="majorBidi"/>
              </w:rPr>
              <w:t xml:space="preserve">.4.2026.</w:t>
            </w:r>
          </w:p>
        </w:tc>
        <w:tc>
          <w:tcPr>
            <w:tcW w:type="dxa" w:w="4030"/>
            <w:tcBorders/>
          </w:tcPr>
          <w:p>
            <w:pPr>
              <w:spacing w:after="160"/>
              <w:jc w:val="right"/>
              <w:rPr/>
            </w:pPr>
            <w:r>
              <w:rPr/>
              <w:drawing>
                <wp:inline>
                  <wp:extent cx="933580" cy="933580"/>
                  <wp:docPr id="3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 w14:paraId="2FD85906">
      <w:pPr>
        <w:pStyle w:val="Tijeloteksta"/>
        <w:spacing w:before="76" w:line="276" w:lineRule="auto"/>
        <w:ind w:left="0" w:right="21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Temeljem</w:t>
      </w:r>
      <w:r>
        <w:rPr>
          <w:rFonts w:asciiTheme="majorBidi" w:hAnsiTheme="majorBidi" w:cstheme="majorBidi"/>
          <w:spacing w:val="-3"/>
        </w:rPr>
        <w:t xml:space="preserve"> </w:t>
      </w:r>
      <w:r>
        <w:rPr>
          <w:rFonts w:asciiTheme="majorBidi" w:hAnsiTheme="majorBidi" w:cstheme="majorBidi"/>
        </w:rPr>
        <w:t xml:space="preserve">članka</w:t>
      </w:r>
      <w:r>
        <w:rPr>
          <w:rFonts w:asciiTheme="majorBidi" w:hAnsiTheme="majorBidi" w:cstheme="majorBidi"/>
          <w:spacing w:val="-3"/>
        </w:rPr>
        <w:t xml:space="preserve"> </w:t>
      </w:r>
      <w:r>
        <w:rPr>
          <w:rFonts w:asciiTheme="majorBidi" w:hAnsiTheme="majorBidi" w:cstheme="majorBidi"/>
        </w:rPr>
        <w:t xml:space="preserve">26.</w:t>
      </w:r>
      <w:r>
        <w:rPr>
          <w:rFonts w:asciiTheme="majorBidi" w:hAnsiTheme="majorBidi" w:cstheme="majorBidi"/>
          <w:spacing w:val="-3"/>
        </w:rPr>
        <w:t xml:space="preserve"> </w:t>
      </w:r>
      <w:r>
        <w:rPr>
          <w:rFonts w:asciiTheme="majorBidi" w:hAnsiTheme="majorBidi" w:cstheme="majorBidi"/>
        </w:rPr>
        <w:t xml:space="preserve">Zakona o</w:t>
      </w:r>
      <w:r>
        <w:rPr>
          <w:rFonts w:asciiTheme="majorBidi" w:hAnsiTheme="majorBidi" w:cstheme="majorBidi"/>
          <w:spacing w:val="-3"/>
        </w:rPr>
        <w:t xml:space="preserve"> </w:t>
      </w:r>
      <w:r>
        <w:rPr>
          <w:rFonts w:asciiTheme="majorBidi" w:hAnsiTheme="majorBidi" w:cstheme="majorBidi"/>
        </w:rPr>
        <w:t xml:space="preserve">predškolskom</w:t>
      </w:r>
      <w:r>
        <w:rPr>
          <w:rFonts w:asciiTheme="majorBidi" w:hAnsiTheme="majorBidi" w:cstheme="majorBidi"/>
          <w:spacing w:val="-3"/>
        </w:rPr>
        <w:t xml:space="preserve"> </w:t>
      </w:r>
      <w:r>
        <w:rPr>
          <w:rFonts w:asciiTheme="majorBidi" w:hAnsiTheme="majorBidi" w:cstheme="majorBidi"/>
        </w:rPr>
        <w:t xml:space="preserve">odgoju</w:t>
      </w:r>
      <w:r>
        <w:rPr>
          <w:rFonts w:asciiTheme="majorBidi" w:hAnsiTheme="majorBidi" w:cstheme="majorBidi"/>
          <w:spacing w:val="-1"/>
        </w:rPr>
        <w:t xml:space="preserve"> </w:t>
      </w:r>
      <w:r>
        <w:rPr>
          <w:rFonts w:asciiTheme="majorBidi" w:hAnsiTheme="majorBidi" w:cstheme="majorBidi"/>
        </w:rPr>
        <w:t xml:space="preserve">i</w:t>
      </w:r>
      <w:r>
        <w:rPr>
          <w:rFonts w:asciiTheme="majorBidi" w:hAnsiTheme="majorBidi" w:cstheme="majorBidi"/>
          <w:spacing w:val="-3"/>
        </w:rPr>
        <w:t xml:space="preserve"> </w:t>
      </w:r>
      <w:r>
        <w:rPr>
          <w:rFonts w:asciiTheme="majorBidi" w:hAnsiTheme="majorBidi" w:cstheme="majorBidi"/>
        </w:rPr>
        <w:t xml:space="preserve">obrazovanju</w:t>
      </w:r>
      <w:r>
        <w:rPr>
          <w:rFonts w:asciiTheme="majorBidi" w:hAnsiTheme="majorBidi" w:cstheme="majorBidi"/>
          <w:spacing w:val="-3"/>
        </w:rPr>
        <w:t xml:space="preserve"> </w:t>
      </w:r>
      <w:r>
        <w:rPr>
          <w:rFonts w:asciiTheme="majorBidi" w:hAnsiTheme="majorBidi" w:cstheme="majorBidi"/>
        </w:rPr>
        <w:t xml:space="preserve">(„Narodne</w:t>
      </w:r>
      <w:r>
        <w:rPr>
          <w:rFonts w:asciiTheme="majorBidi" w:hAnsiTheme="majorBidi" w:cstheme="majorBidi"/>
          <w:spacing w:val="-3"/>
        </w:rPr>
        <w:t xml:space="preserve"> </w:t>
      </w:r>
      <w:r>
        <w:rPr>
          <w:rFonts w:asciiTheme="majorBidi" w:hAnsiTheme="majorBidi" w:cstheme="majorBidi"/>
        </w:rPr>
        <w:t xml:space="preserve">novine“</w:t>
      </w:r>
      <w:r>
        <w:rPr>
          <w:rFonts w:asciiTheme="majorBidi" w:hAnsiTheme="majorBidi" w:cstheme="majorBidi"/>
          <w:spacing w:val="-2"/>
        </w:rPr>
        <w:t xml:space="preserve"> </w:t>
      </w:r>
      <w:r>
        <w:rPr>
          <w:rFonts w:asciiTheme="majorBidi" w:hAnsiTheme="majorBidi" w:cstheme="majorBidi"/>
        </w:rPr>
        <w:t xml:space="preserve">broj 10/97, 107/07, 94/13, 98/19, 57/22 i 101/23) i Odluke o raspisivanju natječaja za </w:t>
      </w:r>
      <w:r>
        <w:rPr>
          <w:rFonts w:asciiTheme="majorBidi" w:hAnsiTheme="majorBidi" w:cstheme="majorBidi"/>
          <w:bCs/>
        </w:rPr>
        <w:t xml:space="preserve">zdravstveni</w:t>
      </w:r>
      <w:r>
        <w:rPr>
          <w:rFonts w:asciiTheme="majorBidi" w:hAnsiTheme="majorBidi" w:cstheme="majorBidi"/>
          <w:bCs/>
          <w:spacing w:val="-1"/>
        </w:rPr>
        <w:t xml:space="preserve"> </w:t>
      </w:r>
      <w:r>
        <w:rPr>
          <w:rFonts w:asciiTheme="majorBidi" w:hAnsiTheme="majorBidi" w:cstheme="majorBidi"/>
          <w:bCs/>
          <w:spacing w:val="-2"/>
        </w:rPr>
        <w:t xml:space="preserve">voditelj/voditeljica</w:t>
      </w:r>
      <w:r>
        <w:rPr>
          <w:rFonts w:asciiTheme="majorBidi" w:hAnsiTheme="majorBidi" w:cstheme="majorBidi"/>
        </w:rPr>
        <w:t xml:space="preserve"> Dječjeg vrtića</w:t>
      </w:r>
      <w:r>
        <w:rPr>
          <w:rFonts w:asciiTheme="majorBidi" w:hAnsiTheme="majorBidi" w:cstheme="majorBidi"/>
          <w:spacing w:val="-4"/>
        </w:rPr>
        <w:t xml:space="preserve"> </w:t>
      </w:r>
      <w:r>
        <w:rPr>
          <w:rFonts w:asciiTheme="majorBidi" w:hAnsiTheme="majorBidi" w:cstheme="majorBidi"/>
        </w:rPr>
        <w:t xml:space="preserve">''Latica</w:t>
      </w:r>
      <w:r>
        <w:rPr>
          <w:rFonts w:asciiTheme="majorBidi" w:hAnsiTheme="majorBidi" w:cstheme="majorBidi"/>
          <w:spacing w:val="-6"/>
        </w:rPr>
        <w:t xml:space="preserve"> </w:t>
      </w:r>
      <w:r>
        <w:rPr>
          <w:rFonts w:asciiTheme="majorBidi" w:hAnsiTheme="majorBidi" w:cstheme="majorBidi"/>
        </w:rPr>
        <w:t xml:space="preserve">Garčin''</w:t>
      </w:r>
      <w:r>
        <w:rPr>
          <w:rFonts w:asciiTheme="majorBidi" w:hAnsiTheme="majorBidi" w:cstheme="majorBidi"/>
          <w:spacing w:val="-8"/>
        </w:rPr>
        <w:t xml:space="preserve"> </w:t>
      </w:r>
      <w:r>
        <w:rPr>
          <w:rFonts w:asciiTheme="majorBidi" w:hAnsiTheme="majorBidi" w:cstheme="majorBidi"/>
        </w:rPr>
        <w:t xml:space="preserve">od</w:t>
      </w:r>
      <w:r>
        <w:rPr>
          <w:rFonts w:asciiTheme="majorBidi" w:hAnsiTheme="majorBidi" w:cstheme="majorBidi"/>
          <w:spacing w:val="-3"/>
        </w:rPr>
        <w:t xml:space="preserve"> </w:t>
      </w:r>
      <w:r>
        <w:rPr>
          <w:rFonts w:asciiTheme="majorBidi" w:hAnsiTheme="majorBidi" w:cstheme="majorBidi"/>
        </w:rPr>
        <w:t xml:space="preserve">25.3.2026.</w:t>
      </w:r>
      <w:r>
        <w:rPr>
          <w:rFonts w:asciiTheme="majorBidi" w:hAnsiTheme="majorBidi" w:cstheme="majorBidi"/>
          <w:spacing w:val="-5"/>
        </w:rPr>
        <w:t xml:space="preserve"> </w:t>
      </w:r>
      <w:r>
        <w:rPr>
          <w:rFonts w:asciiTheme="majorBidi" w:hAnsiTheme="majorBidi" w:cstheme="majorBidi"/>
        </w:rPr>
        <w:t xml:space="preserve">godine</w:t>
      </w:r>
      <w:r>
        <w:rPr>
          <w:rFonts w:asciiTheme="majorBidi" w:hAnsiTheme="majorBidi" w:cstheme="majorBidi"/>
          <w:spacing w:val="-4"/>
        </w:rPr>
        <w:t xml:space="preserve"> </w:t>
      </w:r>
      <w:r>
        <w:rPr>
          <w:rFonts w:asciiTheme="majorBidi" w:hAnsiTheme="majorBidi" w:cstheme="majorBidi"/>
        </w:rPr>
        <w:t xml:space="preserve">(Klasa:601-02/26-06/4</w:t>
      </w:r>
      <w:r>
        <w:rPr>
          <w:rFonts w:asciiTheme="majorBidi" w:hAnsiTheme="majorBidi" w:cstheme="majorBidi"/>
          <w:spacing w:val="-5"/>
        </w:rPr>
        <w:t xml:space="preserve"> </w:t>
      </w:r>
      <w:r>
        <w:rPr>
          <w:rFonts w:asciiTheme="majorBidi" w:hAnsiTheme="majorBidi" w:cstheme="majorBidi"/>
        </w:rPr>
        <w:t xml:space="preserve">,</w:t>
      </w:r>
      <w:r>
        <w:rPr>
          <w:rFonts w:asciiTheme="majorBidi" w:hAnsiTheme="majorBidi" w:cstheme="majorBidi"/>
          <w:spacing w:val="-5"/>
        </w:rPr>
        <w:t xml:space="preserve"> </w:t>
      </w:r>
      <w:r>
        <w:rPr>
          <w:rFonts w:asciiTheme="majorBidi" w:hAnsiTheme="majorBidi" w:cstheme="majorBidi"/>
        </w:rPr>
        <w:t xml:space="preserve">Urbroj:2178-6-2-26-3), Dječji vrtić „Latica Garčin“ objavljuje</w:t>
      </w:r>
    </w:p>
    <w:p w14:paraId="4B91B4F8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BE7ECFC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NATJEČAJ</w:t>
      </w:r>
    </w:p>
    <w:p w14:paraId="5B7B315F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za prijam u radni odnos zdravstveni voditelj/voditeljica</w:t>
      </w:r>
    </w:p>
    <w:p w14:paraId="53A7F0FD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VŠS na određeno vrijeme do povratka radnice</w:t>
      </w:r>
    </w:p>
    <w:p w14:paraId="6CD5064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32CD9B2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Broj traženih radnika:</w:t>
      </w:r>
      <w:r>
        <w:rPr>
          <w:rFonts w:asciiTheme="majorBidi" w:hAnsiTheme="majorBidi" w:cstheme="majorBidi"/>
          <w:sz w:val="24"/>
          <w:szCs w:val="24"/>
        </w:rPr>
        <w:t xml:space="preserve"> 1</w:t>
      </w:r>
    </w:p>
    <w:p w14:paraId="53B7C47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Radno vrijeme:</w:t>
      </w:r>
      <w:r>
        <w:rPr>
          <w:rFonts w:asciiTheme="majorBidi" w:hAnsiTheme="majorBidi" w:cstheme="majorBidi"/>
          <w:sz w:val="24"/>
          <w:szCs w:val="24"/>
        </w:rPr>
        <w:t xml:space="preserve"> Puno radno vrijeme</w:t>
      </w:r>
    </w:p>
    <w:p w14:paraId="40838BD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Način rada</w:t>
      </w:r>
      <w:r>
        <w:rPr>
          <w:rFonts w:asciiTheme="majorBidi" w:hAnsiTheme="majorBidi" w:cstheme="majorBidi"/>
          <w:sz w:val="24"/>
          <w:szCs w:val="24"/>
        </w:rPr>
        <w:t xml:space="preserve">: 1. smjena</w:t>
      </w:r>
    </w:p>
    <w:p w14:paraId="7C9CB6A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Smještaj: </w:t>
      </w:r>
      <w:r>
        <w:rPr>
          <w:rFonts w:asciiTheme="majorBidi" w:hAnsiTheme="majorBidi" w:cstheme="majorBidi"/>
          <w:sz w:val="24"/>
          <w:szCs w:val="24"/>
        </w:rPr>
        <w:t xml:space="preserve">Nema smještaja </w:t>
      </w:r>
    </w:p>
    <w:p w14:paraId="5AE4874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Naknada za prijevoz:</w:t>
      </w:r>
      <w:r>
        <w:rPr>
          <w:rFonts w:asciiTheme="majorBidi" w:hAnsiTheme="majorBidi" w:cstheme="majorBidi"/>
          <w:sz w:val="24"/>
          <w:szCs w:val="24"/>
        </w:rPr>
        <w:t xml:space="preserve"> U cijelosti</w:t>
      </w:r>
    </w:p>
    <w:p w14:paraId="0C259F3C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Probni rok:</w:t>
      </w:r>
      <w:r>
        <w:rPr>
          <w:rFonts w:asciiTheme="majorBidi" w:hAnsiTheme="majorBidi" w:cstheme="majorBidi"/>
          <w:sz w:val="24"/>
          <w:szCs w:val="24"/>
        </w:rPr>
        <w:t xml:space="preserve"> 1 mjesec</w:t>
      </w:r>
    </w:p>
    <w:p w14:paraId="1A5A736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19E8F26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Za prijam u radni odnos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zdravstvenog voditelja/zdravstvene voditeljice</w:t>
      </w:r>
      <w:r>
        <w:rPr>
          <w:rFonts w:asciiTheme="majorBidi" w:hAnsiTheme="majorBidi" w:cstheme="majorBidi"/>
          <w:sz w:val="24"/>
          <w:szCs w:val="24"/>
        </w:rPr>
        <w:t xml:space="preserve"> kandidati moraju ispunjavati, osim općih uvjeta, uvjete propisane člankom 24. Zakona o predškolskom odgoju i obrazovanju (Narodne novine, broj 10/97, 107/07, 94/13, 98/19, 57/22 i 101/23) te članka 8.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Pravilnika o vrsti stručne spreme stručnih djelatnika te vrsti i stupnju stručne spreme ostalih djelatnika u dječjem vrtiću (Narodne novine, broj 133/97).</w:t>
      </w:r>
    </w:p>
    <w:p w14:paraId="7AE66E88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Kandidati moraju ispunjavati sljedeće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uvjete za prijam u radni odnos:</w:t>
      </w:r>
    </w:p>
    <w:p w14:paraId="1945DF02">
      <w:pPr>
        <w:spacing w:line="276" w:lineRule="auto"/>
        <w:ind w:left="1413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•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završen prijediplomski sveučilišni studij ili stručni studij odgovarajuće vrste, odnosno studij odgovarajuće vrste kojim je stečena viša stručna sprema u djelatnosti sestrinstva u skladu s ranijim propisima ili završen sveučilišni diplomski studij ili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specijalistički studij sestrinstva</w:t>
      </w:r>
    </w:p>
    <w:p w14:paraId="2889212D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Pored navedenih uvjeta kandidati moraju ispunjavati i opće uvjete za prijem u radni odnos:</w:t>
      </w:r>
    </w:p>
    <w:p w14:paraId="2FCA7FD5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punoljetnost</w:t>
      </w:r>
    </w:p>
    <w:p w14:paraId="0696E8F9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hrvatsko državljanstvo</w:t>
      </w:r>
    </w:p>
    <w:p w14:paraId="66743CB8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zdravstvena sposobnost za obavljanje poslova radnog mjesta</w:t>
      </w:r>
    </w:p>
    <w:p w14:paraId="03AEA6B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–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Dokaz o zdravstvenoj sposobnosti za obavljanje poslova radnog mjesta dostavit će izabrani kandidat po dostavljenoj obavijesti o izboru.</w:t>
      </w:r>
    </w:p>
    <w:p w14:paraId="612D938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E3ED61B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radni odnos u dječjem vrtiću ne može zasnovati osoba koja ima zapreke definirane člankom 25. Zakona o predškolskom odgoju i obrazovanju („Narodne novine“ 10/97, 107/07, 94/13, 98/19 i 57/22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101/23</w:t>
      </w:r>
      <w:r>
        <w:rPr>
          <w:rFonts w:asciiTheme="majorBidi" w:hAnsiTheme="majorBidi" w:cstheme="majorBidi"/>
          <w:sz w:val="24"/>
          <w:szCs w:val="24"/>
        </w:rPr>
        <w:t xml:space="preserve">).</w:t>
      </w:r>
    </w:p>
    <w:p w14:paraId="0124B74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Opći uvjet za prijam u radni odnos prema članku 25. zakona o predškolskom odgoju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obrazovanju(„Narodne novine“ 10/97, 107/07, 94/13, 98/19 i 57/22) prijavitelj dokazuje (potrebno priložiti sva tri dokumenta)</w:t>
      </w:r>
      <w:r>
        <w:rPr>
          <w:rFonts w:asciiTheme="majorBidi" w:hAnsiTheme="majorBidi" w:cstheme="majorBidi"/>
          <w:sz w:val="24"/>
          <w:szCs w:val="24"/>
        </w:rPr>
        <w:t xml:space="preserve">:</w:t>
      </w:r>
    </w:p>
    <w:p w14:paraId="7897433A">
      <w:pPr>
        <w:spacing w:line="276" w:lineRule="auto"/>
        <w:ind w:left="1413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uvjerenjem nadležnog suda da se protiv kandidata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ne vodi kazneni postupak</w:t>
      </w:r>
      <w:r>
        <w:rPr>
          <w:rFonts w:asciiTheme="majorBidi" w:hAnsiTheme="majorBidi" w:cstheme="majorBidi"/>
          <w:sz w:val="24"/>
          <w:szCs w:val="24"/>
        </w:rPr>
        <w:t xml:space="preserve"> prema članku 25. stavak 2. Zakona o predškolskom odgoju i obrazovanju,</w:t>
      </w:r>
    </w:p>
    <w:p w14:paraId="5DFB099F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uvjerenjem nadležnog suda da se protiv kandidata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ne vodi prekršajni</w:t>
      </w:r>
    </w:p>
    <w:p w14:paraId="02AD0064">
      <w:pPr>
        <w:spacing w:line="276" w:lineRule="auto"/>
        <w:ind w:left="708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postupak</w:t>
      </w:r>
      <w:r>
        <w:rPr>
          <w:rFonts w:asciiTheme="majorBidi" w:hAnsiTheme="majorBidi" w:cstheme="majorBidi"/>
          <w:sz w:val="24"/>
          <w:szCs w:val="24"/>
        </w:rPr>
        <w:t xml:space="preserve"> prema članku 25. stavak 4. Zakona o predškolskom odgoju i obrazovanju,</w:t>
      </w:r>
    </w:p>
    <w:p w14:paraId="41F4B7D2">
      <w:pPr>
        <w:spacing w:line="276" w:lineRule="auto"/>
        <w:ind w:left="1413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potvrdom nadležnog Centra za socijalnu skrb da kandidat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nema izrečenu mjeru za zaštitu dobrobiti djeteta</w:t>
      </w:r>
      <w:r>
        <w:rPr>
          <w:rFonts w:asciiTheme="majorBidi" w:hAnsiTheme="majorBidi" w:cstheme="majorBidi"/>
          <w:sz w:val="24"/>
          <w:szCs w:val="24"/>
        </w:rPr>
        <w:t xml:space="preserve"> iz članka 25. stavak 10. Zakona o predškolskom odgoju i obrazovanju</w:t>
      </w:r>
    </w:p>
    <w:p w14:paraId="643CD5AC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CDE04EC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C6F989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Opis poslova:</w:t>
      </w:r>
    </w:p>
    <w:p w14:paraId="203EB8CC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vodi brigu o dezinfekciji, dezinsekciji i deratizaciji,</w:t>
      </w:r>
    </w:p>
    <w:p w14:paraId="214423F5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nadzire pravovremeno obavljanje sanitarnih pregleda svih radnika u suradnji s voditeljima vrtića,</w:t>
      </w:r>
    </w:p>
    <w:p w14:paraId="4E242A2C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sudjeluje u izradi godišnjeg plana i program vrtića,</w:t>
      </w:r>
    </w:p>
    <w:p w14:paraId="5C72AE5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vodi evidenciju i organizira zdravstveni pregled zaposlenih u vrtiću,</w:t>
      </w:r>
    </w:p>
    <w:p w14:paraId="3697A0C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sudjeluje u organiziranju ljetovanja i zimovanja djece i rekreativnih programa,</w:t>
      </w:r>
    </w:p>
    <w:p w14:paraId="71FF5285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daje nalog glavnoj kuharici i ekonomu za nabavu potrebne količine živežnih namirnica za cijeli tjedan,</w:t>
      </w:r>
    </w:p>
    <w:p w14:paraId="6B0DB7EB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organizira zdravstvenu zaštitu djece i provodi sanitarno higijenski režim u jaslicama, vrtiću, kuhinji, praonici, sanitarnim prostorijama,</w:t>
      </w:r>
    </w:p>
    <w:p w14:paraId="0855991A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nadzire kalorijsku, kvantitativnu i mikrobiološku ispravnost namirnica u suradnji sa Nastavnim zavodom za javno zdravstvo Osječko-baranjske županije,</w:t>
      </w:r>
    </w:p>
    <w:p w14:paraId="56DF2F1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nadzire distribuciju hrane u vrtiću te serviranje i konzumaciju obroka,</w:t>
      </w:r>
    </w:p>
    <w:p w14:paraId="4B1F8656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nadzire kuhinjski blok, te postupak s posuđem, način prikupljanja i uklanjanja otpadnih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tvari,</w:t>
      </w:r>
    </w:p>
    <w:p w14:paraId="1371756D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prati nalaze Zavoda za javno zdravstvo,</w:t>
      </w:r>
    </w:p>
    <w:p w14:paraId="02B28475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vodi antropometrijska mjerenja i prati stanje uhranjenosti djece u suradnji s odgojiteljima,</w:t>
      </w:r>
    </w:p>
    <w:p w14:paraId="1590364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prati djecu s ograničenjima u prehrani i kronično bolesnu djecu,</w:t>
      </w:r>
    </w:p>
    <w:p w14:paraId="587EF6FE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sudjeluje u formiranju odgojnih skupine i prijedlogu rasporeda odgojno obrazovnih zaposlenika u skupine,</w:t>
      </w:r>
    </w:p>
    <w:p w14:paraId="19D65DC5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obavlja raspored odgojno obrazovnih zaposlenika u tijeku godine za kraću odsutnost s posla, također i zaposlenika u kuhinji, službi spremanja, domara vozača,</w:t>
      </w:r>
    </w:p>
    <w:p w14:paraId="4FD80CD5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po potrebi zamjenjuje odgojno obrazovne zaposlenike u skupini (više zaposlenika na bolovanju, godišnji odmor i sl. iznimne potrebe),</w:t>
      </w:r>
    </w:p>
    <w:p w14:paraId="2E711F0C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sudjeluje u organizaciji održavanja čistoće svih prostorija u vrtiću i vanjskim površinama, te ista svakodnevno kontrolira, te predlaže mjere preventivne zaštite,</w:t>
      </w:r>
    </w:p>
    <w:p w14:paraId="34FBFB0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vodi brigu o higijeni spremanja, izmjeni posteljine, radne odjeće, ručnika i sl.,</w:t>
      </w:r>
    </w:p>
    <w:p w14:paraId="41D98BD0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organizira i sudjeluje u radu komisije za sastavljanje jelovnika, te kontrolira primjenu propisanih standarda,</w:t>
      </w:r>
    </w:p>
    <w:p w14:paraId="51D58FB7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svakodnevno obavlja kontrolu pripremanja hrane, kvalitetu i kvantitetu zgotovljenih jela,</w:t>
      </w:r>
    </w:p>
    <w:p w14:paraId="08F74191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u suradnji sa stručnim timom vodi brigu o pravilnom provođenju ritma dana u cilju zadovoljavanja osnovnih potreba djece,</w:t>
      </w:r>
    </w:p>
    <w:p w14:paraId="109B023D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vodi dokumentaciju o razvoju djece, evidencije o uzrocima odsutnosti i prosjeku dolazeće djece, podnosi izvješća , predlaže i poduzima odgovarajuće mjere,</w:t>
      </w:r>
    </w:p>
    <w:p w14:paraId="25B1983B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u suradnji sa Domom zdravlja organizira sistematske preglede i provodi mjere preventive,</w:t>
      </w:r>
    </w:p>
    <w:p w14:paraId="2929E082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obavještava nadležne službe o oboljenjima djece i provodi upute liječnika,</w:t>
      </w:r>
    </w:p>
    <w:p w14:paraId="4696A33C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brine o dezinfekciji, dezinsekciji i deratizaciji unutarnjeg prostora, dezinfekciji igračaka, opreme i prijevoznih sredstava,</w:t>
      </w:r>
    </w:p>
    <w:p w14:paraId="1C00FDA1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pruža prvu medicinsku pomoć povrijeđenoj djeci i zaposlenicima, i prati ih do konačne obrade,</w:t>
      </w:r>
    </w:p>
    <w:p w14:paraId="6D0ED23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nabavlja , evidentira i raspoređuje sanitetski i dr. potrebiti medicinski materijal,</w:t>
      </w:r>
    </w:p>
    <w:p w14:paraId="6CA47CAC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redovito surađuje sa higijensko epidemiološkom službom, pedijatrom, stomatologom, patronažom i drugim ovlaštenim službama,</w:t>
      </w:r>
    </w:p>
    <w:p w14:paraId="7D4FBEE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surađuje s roditeljima putem individualnih konzultacija i roditeljskih sastanaka,</w:t>
      </w:r>
    </w:p>
    <w:p w14:paraId="775B9DD3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sudjeluje u radu vezanom za upis djece i formiranju odgojnih skupina, zajedno sa ostalim članovima stručnog tima, ispunjava zdravstvenu dokumentaciju i propisane protokole,</w:t>
      </w:r>
    </w:p>
    <w:p w14:paraId="10C295E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organizira, prisustvuje i sudjeluje u realizaciji roditeljskih sastanaka,</w:t>
      </w:r>
    </w:p>
    <w:p w14:paraId="13FC6D5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izrađuje potrebite planove za rad medicinske sestre,</w:t>
      </w:r>
    </w:p>
    <w:p w14:paraId="55FBA0EF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sudjeluje na sjednicama odgojiteljskog vijeća, podnosi izvješća snimljena na temelju sistematskog praćenja neposrednog rada s odgojiteljima i kontrolno-instruktivnog uvida sva područja njege i zaštite djece po skupinama,</w:t>
      </w:r>
    </w:p>
    <w:p w14:paraId="3159D41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sudjeluje u radu na osuvremenjivanju njege i odgoja,</w:t>
      </w:r>
    </w:p>
    <w:p w14:paraId="5E2ADD22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sudjeluje u provođenju pedagoško psihološkog obrazovanja odgojitelja (interni aktivi, predavanja, doškolovanje),</w:t>
      </w:r>
    </w:p>
    <w:p w14:paraId="2D724C93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kontinuirano obilazi grupe za vrijeme jutarnjeg preuzimanja djece od roditelja i nastoji da se trijaža što dosljednije provodi,</w:t>
      </w:r>
    </w:p>
    <w:p w14:paraId="14F07A7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izrađuje program individualnog stručnog usavršavanja,</w:t>
      </w:r>
    </w:p>
    <w:p w14:paraId="689729F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sistemski radi na vlastitom zdravstvenom i pedagoško psihološkom usavršavanju,</w:t>
      </w:r>
    </w:p>
    <w:p w14:paraId="0A325A9A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prati i realizira zaključke sa internih aktiva, odgojiteljskih vijeća i drugih nadležnih organa,</w:t>
      </w:r>
    </w:p>
    <w:p w14:paraId="48CA864F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prisustvuje i aktivno sudjeluje na odgojiteljskim vijećima, aktivima u vrtiću, seminarima i savjetovanjima,</w:t>
      </w:r>
    </w:p>
    <w:p w14:paraId="1C8F5FAA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obavlja kontrolu ostalih područja zdravstvene zaštite (pravilno korištenje sredstava za održavanje higijene način primanja nečistog i izdavanja čistog rublje i sl.),</w:t>
      </w:r>
    </w:p>
    <w:p w14:paraId="4355C3DD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obavlja poslove prijepisa i umnožavanja unutar svoga djelokruga rada,</w:t>
      </w:r>
    </w:p>
    <w:p w14:paraId="4C47DD96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radi i druge poslove po nalogu ravnatelja i Upravnog vijeća. </w:t>
      </w:r>
    </w:p>
    <w:p w14:paraId="5C09BFE6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0A381B2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C0C9755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Kao dokaz o ispunjavanju uvjeta za prijam u radni odnos kandidati moraju priložiti sljedeće dokumente:</w:t>
      </w:r>
    </w:p>
    <w:p w14:paraId="0A16A1E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životopis (vlastoručno potpisan),</w:t>
      </w:r>
    </w:p>
    <w:p w14:paraId="214DBE8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presliku osobne iskaznice ili domovnice,</w:t>
      </w:r>
    </w:p>
    <w:p w14:paraId="3E9265C8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presliku diplome o stečenoj stručnoj spremi,</w:t>
      </w:r>
    </w:p>
    <w:p w14:paraId="11577A5B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elektronički zapis odnosno potvrda o podacima evidentiranim u matičnoj evidenciji Hrvatskog zavoda za mirovinsko osiguranje,</w:t>
      </w:r>
    </w:p>
    <w:p w14:paraId="63FDC096">
      <w:pPr>
        <w:spacing w:line="276" w:lineRule="auto"/>
        <w:ind w:left="705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kao dokaz o nepostojanju zapreka za zasnivanje radnog odnosa sukladno čl.25. Zakona o predškolskom odgoju i obrazovanju dostavljaju se sljedeći dokumenti (ne starije od 6 mjeseci):</w:t>
      </w:r>
    </w:p>
    <w:p w14:paraId="18D217EE">
      <w:pPr>
        <w:spacing w:line="276" w:lineRule="auto"/>
        <w:ind w:left="705" w:firstLine="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uvjerenje nadležnog suda da se protiv kandidata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ne vodi kazneni postupak</w:t>
      </w:r>
      <w:r>
        <w:rPr>
          <w:rFonts w:asciiTheme="majorBidi" w:hAnsiTheme="majorBidi" w:cstheme="majorBidi"/>
          <w:sz w:val="24"/>
          <w:szCs w:val="24"/>
        </w:rPr>
        <w:t xml:space="preserve"> prema članku 25. stavak 2. Zakona o predškolskom odgoju i obrazovanju (ne stariji od 30 dana)</w:t>
      </w:r>
    </w:p>
    <w:p w14:paraId="4EECCC58">
      <w:pPr>
        <w:spacing w:line="276" w:lineRule="auto"/>
        <w:ind w:left="705" w:firstLine="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uvjerenje nadležnog suda da se protiv kandidata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ne vodi prekršajni postupak prema članku</w:t>
      </w:r>
      <w:r>
        <w:rPr>
          <w:rFonts w:asciiTheme="majorBidi" w:hAnsiTheme="majorBidi" w:cstheme="majorBidi"/>
          <w:sz w:val="24"/>
          <w:szCs w:val="24"/>
        </w:rPr>
        <w:t xml:space="preserve"> 25. stavak 4. Zakona o predškolskom odgoju i obrazovanju (ne stariji od 30 dana)</w:t>
      </w:r>
    </w:p>
    <w:p w14:paraId="6D681F5D">
      <w:pPr>
        <w:spacing w:line="276" w:lineRule="auto"/>
        <w:ind w:left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potvrdu nadležnog Centra za socijalnu skrb da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kandidat nema izrečenu mjeru za zaštitu dobrobiti djeteta iz članka</w:t>
      </w:r>
      <w:r>
        <w:rPr>
          <w:rFonts w:asciiTheme="majorBidi" w:hAnsiTheme="majorBidi" w:cstheme="majorBidi"/>
          <w:sz w:val="24"/>
          <w:szCs w:val="24"/>
        </w:rPr>
        <w:t xml:space="preserve"> 25. stavak 10. Zakona o predškolskom odgoju i obrazovanju (ne stariji od 30 dana)</w:t>
      </w:r>
    </w:p>
    <w:p w14:paraId="4E8812F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Isprave se prilažu u neovjerenom presliku, a prije izbora kandidata predočit će se izvornik.</w:t>
      </w:r>
    </w:p>
    <w:p w14:paraId="18B9BF35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 skladu s Uredbom EU 2016/679 Europskog parlamenta i Vijeća od 17.4.2018. te Zakona o provedbi Opće uredbe o zaštiti osobnih podataka (NN 42/18) kandidat prijavom na natječaj daje privolu za prikupljanje i obradu podataka iz natječajne dokumentacije, a u svrhu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provedbe natječaja za zapošljavanje.</w:t>
      </w:r>
    </w:p>
    <w:p w14:paraId="28E91BF6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 natječaj se mogu prijaviti osobe oba spola.</w:t>
      </w:r>
    </w:p>
    <w:p w14:paraId="11E27FB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Nepravodobne i nepotpune prijave neće se razmatrati.</w:t>
      </w:r>
    </w:p>
    <w:p w14:paraId="39495C2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Kandidat koji se poziva na pravo prednosti pri zapošljavanju prema pozitivnim propisima RH dužan je u prijavi za natječaj pozvati se na to pravio, priložiti propisane dokaze o tom pravu te ostvaruje prednost u odnosu na ostale kandidate samo pod jednakim uvjetima.</w:t>
      </w:r>
    </w:p>
    <w:p w14:paraId="233300FF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8E66336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Nezaposlene osobe iz članka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102. stavak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1.,</w:t>
      </w:r>
      <w:r>
        <w:rPr>
          <w:rFonts w:asciiTheme="majorBidi" w:hAnsiTheme="majorBidi" w:cstheme="majorBidi"/>
          <w:sz w:val="24"/>
          <w:szCs w:val="24"/>
        </w:rPr>
        <w:t xml:space="preserve"> redoslijedom točke a) do točke k), odnosno zaposlene osobe iz stavka 2. iste odredbe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Zakona o hrvatskim braniteljima iz Domovinskog rata i članovima njihovih obitelji</w:t>
      </w:r>
      <w:r>
        <w:rPr>
          <w:rFonts w:asciiTheme="majorBidi" w:hAnsiTheme="majorBidi" w:cstheme="majorBidi"/>
          <w:sz w:val="24"/>
          <w:szCs w:val="24"/>
        </w:rPr>
        <w:t xml:space="preserve"> („Narodne novine“, broj 121/17 i 98/19 – nastavno: ZOPHBDR), osim traženih dokaza o ispunjavanju uvjeta ovog natječaja, u svrhu ostvarivanja prava prednosti pri zapošljavanju, prijavi su obvezni priložiti i dokaze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propisane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člankom 103.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stavak 1.</w:t>
      </w:r>
      <w:r>
        <w:rPr>
          <w:rFonts w:asciiTheme="majorBidi" w:hAnsiTheme="majorBidi" w:cstheme="majorBidi"/>
          <w:sz w:val="24"/>
          <w:szCs w:val="24"/>
        </w:rPr>
        <w:t xml:space="preserve"> ZOPHBDR, dostupne na internetskoj stranici Ministarstva hrvatskih branitelja: https://branitelji.gov.hr/zaposljavanje-843/843</w:t>
      </w:r>
    </w:p>
    <w:p w14:paraId="1978E61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8DF353D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Kandidati koji se pozivaju na pravo prednosti pri zapošljavanju sukladno članku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9. Zakona o profesionalnoj rehabilitaciji i zapošljavanju osoba s invaliditetom</w:t>
      </w:r>
      <w:r>
        <w:rPr>
          <w:rFonts w:asciiTheme="majorBidi" w:hAnsiTheme="majorBidi" w:cstheme="majorBidi"/>
          <w:sz w:val="24"/>
          <w:szCs w:val="24"/>
        </w:rPr>
        <w:t xml:space="preserve"> (NN 157/13, 152/14, 39/18 i 32/20), uz prijavu na natječaj dužni su, osim dokaza o ispunjavanju traženih uvjeta,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priložiti i:</w:t>
      </w:r>
    </w:p>
    <w:p w14:paraId="7E963D68">
      <w:pPr>
        <w:spacing w:line="276" w:lineRule="auto"/>
        <w:ind w:left="1413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rješenje o utvrđenom invaliditetu, odnosno drugu javnu ispravu o invaliditetu, na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temelju koje se osoba može upisati u očevidnik zaposlenih osoba s invaliditetom te</w:t>
      </w:r>
    </w:p>
    <w:p w14:paraId="64BEB863">
      <w:pPr>
        <w:spacing w:line="276" w:lineRule="auto"/>
        <w:ind w:left="1413" w:hanging="70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dokaz iz kojeg je vidljivo na koji je način prestao radni odnos kod posljednjeg poslodavca (rješenje, ugovor, sporazum i sl.).</w:t>
      </w:r>
    </w:p>
    <w:p w14:paraId="58DAAE9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Kandidati koji mogu ostvariti pravo prednosti pri zapošljavanju sukladno članku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48.f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Zakona o zaštiti vojnih i civilnih invalida rata</w:t>
      </w:r>
      <w:r>
        <w:rPr>
          <w:rFonts w:asciiTheme="majorBidi" w:hAnsiTheme="majorBidi" w:cstheme="majorBidi"/>
          <w:sz w:val="24"/>
          <w:szCs w:val="24"/>
        </w:rPr>
        <w:t xml:space="preserve"> (Narodne novine broj 33/92, 77/92, 27/93, 58/93, 2/94, 76/94, 108/95, 108/96, 82/01, 103/03, 148/13 i 98/19), dužni su se 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prijavi na natječaj pozvati na to pravo te imaju prednost u odnosu na ostale kandidate samo pod jednakim uvjetima.</w:t>
      </w:r>
    </w:p>
    <w:p w14:paraId="5867E62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Informacije o načinu ostvarivanja prava prednosti pri zapošljavanju i propisima kojima je</w:t>
      </w:r>
    </w:p>
    <w:p w14:paraId="24F5ABE8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utvrđeno pravo pojedinih osoba na prednost pri zapošljavanju dostupne su na Internet stranici Ministarstva uprave Republike Hrvatske, na sljedećoj poveznici:</w:t>
      </w:r>
    </w:p>
    <w:p w14:paraId="7FD0A42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https://uprava.gov.hr/o-ministarstvu/ustrojstvo/3-uprava-za-sluzbenicki-sustav-1078/zaposljavanje/prednost-pri-zaposljavanju/738</w:t>
      </w:r>
    </w:p>
    <w:p w14:paraId="0236EB0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Urednom prijavom smatra se prijava koja sadrži sve podatke i priloge navedene u tekstu ovog natječaja.</w:t>
      </w:r>
    </w:p>
    <w:p w14:paraId="0FE22FB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Prijave se podnose preporučeno poštom ili osobno, u zatvorenoj omotnici, u sjedište Dječjeg vrtića Latica Garčin, u roku od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8 dana</w:t>
      </w:r>
      <w:r>
        <w:rPr>
          <w:rFonts w:asciiTheme="majorBidi" w:hAnsiTheme="majorBidi" w:cstheme="majorBidi"/>
          <w:sz w:val="24"/>
          <w:szCs w:val="24"/>
        </w:rPr>
        <w:t xml:space="preserve"> od dana objave natječaja na mrežnim stranicama i oglasnim pločama Hrvatskog zavoda za zapošljavanje, na adresu:</w:t>
      </w:r>
    </w:p>
    <w:p w14:paraId="1DE124A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34CB18E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DJEČJI VRTIĆ „LATICA GARČIN“, Put Surevice 4, 35212 Garčin,</w:t>
      </w:r>
    </w:p>
    <w:p w14:paraId="40498F82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 naznakom: «NE OTVARAJ – za natječaj zdravstveni voditelj/zdravstvena voditeljica».</w:t>
      </w:r>
    </w:p>
    <w:p w14:paraId="43A334D5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CFF977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Povjerenstvo za provedbu javnog natječaja (u nastavku teksta: Povjerenstvo) imenuje ravnateljica Dječjeg vrtića „Latica Garčin“. Povjerenstvo utvrđuje popis kandidata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prijavljenih na javni natječaj koji ispunjavaju formalne uvjete.</w:t>
      </w:r>
    </w:p>
    <w:p w14:paraId="6BF4B27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Za kandidate koji ispunjavaju formalne uvjete natječaja Dječji vrtić „Latica Garčin“ zadržava pravo provođenja provjere znanja i vještina  intervjuom. Ako kandidat ne pristupi intervjuu, smatra se da je povukao svoju prijavu.</w:t>
      </w:r>
    </w:p>
    <w:p w14:paraId="256E5D8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 web stranici Dječjeg vrtića Latica Garčin www.latica-garcin.h</w:t>
      </w:r>
      <w:r>
        <w:rPr>
          <w:rFonts w:asciiTheme="majorBidi" w:hAnsiTheme="majorBidi" w:cstheme="majorBidi"/>
          <w:sz w:val="24"/>
          <w:szCs w:val="24"/>
        </w:rPr>
        <w:t xml:space="preserve">r</w:t>
      </w:r>
      <w:r>
        <w:rPr>
          <w:rFonts w:asciiTheme="majorBidi" w:hAnsiTheme="majorBidi" w:cstheme="majorBidi"/>
          <w:sz w:val="24"/>
          <w:szCs w:val="24"/>
        </w:rPr>
        <w:t xml:space="preserve"> objavit će se popis kandidata koji ispunjavaju formalne uvjete iz natječaja te vrijeme održavanja intervjua, a najkasnije 5 dana prije održavanja intervjua.</w:t>
      </w:r>
    </w:p>
    <w:p w14:paraId="16072B8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 rezultatima natječaja kandidati će biti obaviješteni u zakonskom roku.</w:t>
      </w:r>
    </w:p>
    <w:p w14:paraId="6D9B240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Dječji vrtić ''Latica Garčin'' zadržava pravo poništiti natječaj ili ne prihvatiti niti jednu ponudu bez obrazlaganja razloga poništenja ili neprihvaćanja.</w:t>
      </w:r>
    </w:p>
    <w:p w14:paraId="349DEE3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3C2B31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Natječaj je objavljen dana 0</w:t>
      </w:r>
      <w:r>
        <w:rPr>
          <w:rFonts w:asciiTheme="majorBidi" w:hAnsiTheme="majorBidi" w:cstheme="majorBidi"/>
          <w:sz w:val="24"/>
          <w:szCs w:val="24"/>
        </w:rPr>
        <w:t xml:space="preserve">8</w:t>
      </w:r>
      <w:r>
        <w:rPr>
          <w:rFonts w:asciiTheme="majorBidi" w:hAnsiTheme="majorBidi" w:cstheme="majorBidi"/>
          <w:sz w:val="24"/>
          <w:szCs w:val="24"/>
        </w:rPr>
        <w:t xml:space="preserve">. travnja 2026. i važi do 1</w:t>
      </w:r>
      <w:r>
        <w:rPr>
          <w:rFonts w:asciiTheme="majorBidi" w:hAnsiTheme="majorBidi" w:cstheme="majorBidi"/>
          <w:sz w:val="24"/>
          <w:szCs w:val="24"/>
        </w:rPr>
        <w:t xml:space="preserve">6</w:t>
      </w:r>
      <w:r>
        <w:rPr>
          <w:rFonts w:asciiTheme="majorBidi" w:hAnsiTheme="majorBidi" w:cstheme="majorBidi"/>
          <w:sz w:val="24"/>
          <w:szCs w:val="24"/>
        </w:rPr>
        <w:t xml:space="preserve">. travnja 2026.godine.</w:t>
      </w:r>
    </w:p>
    <w:p w14:paraId="7C1C1A6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7B2B1A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 Garčinu, 0</w:t>
      </w:r>
      <w:r>
        <w:rPr>
          <w:rFonts w:asciiTheme="majorBidi" w:hAnsiTheme="majorBidi" w:cstheme="majorBidi"/>
          <w:sz w:val="24"/>
          <w:szCs w:val="24"/>
        </w:rPr>
        <w:t xml:space="preserve">8</w:t>
      </w:r>
      <w:r>
        <w:rPr>
          <w:rFonts w:asciiTheme="majorBidi" w:hAnsiTheme="majorBidi" w:cstheme="majorBidi"/>
          <w:sz w:val="24"/>
          <w:szCs w:val="24"/>
        </w:rPr>
        <w:t xml:space="preserve">. travnja 2026</w:t>
      </w:r>
      <w:r>
        <w:rPr>
          <w:rFonts w:asciiTheme="majorBidi" w:hAnsiTheme="majorBidi" w:cstheme="majorBidi"/>
          <w:sz w:val="24"/>
          <w:szCs w:val="24"/>
        </w:rPr>
        <w:t xml:space="preserve">.</w:t>
      </w:r>
    </w:p>
    <w:p w14:paraId="5D590FE9">
      <w:pPr>
        <w:spacing w:line="276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Ravnateljica Dječjeg vrtića „Latica Garčin“:</w:t>
      </w:r>
    </w:p>
    <w:p w14:paraId="3CC45561">
      <w:pPr>
        <w:spacing w:line="276" w:lineRule="auto"/>
        <w:ind w:left="4248" w:firstLine="708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Ankica Bitunjac, mag. praesc. educ.</w:t>
      </w:r>
    </w:p>
    <w:p w14:paraId="55FF9C48">
      <w:pPr>
        <w:spacing w:line="276" w:lineRule="auto"/>
        <w:ind w:left="4248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__________________________________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9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bidi="ar-SA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2F5496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2F5496"/>
      <w:sz w:val="32"/>
      <w:szCs w:val="32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eastAsiaTheme="majorEastAsia" w:cstheme="majorBidi"/>
      <w:i/>
      <w:iCs/>
      <w:color w:val="2F5496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eastAsiaTheme="majorEastAsia" w:cstheme="majorBidi"/>
      <w:color w:val="2F5496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eastAsiaTheme="majorEastAsia" w:cstheme="majorBidi"/>
      <w:color w:val="595959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/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Jakoisticanje" w:customStyle="1">
    <w:name w:val="Intense Emphasis"/>
    <w:basedOn w:val="Zadanifontodlomka"/>
    <w:uiPriority w:val="21"/>
    <w:qFormat/>
    <w:rPr>
      <w:i/>
      <w:iCs/>
      <w:color w:val="2F5496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i/>
      <w:iCs/>
      <w:color w:val="2F5496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2F5496"/>
      <w:spacing w:val="5"/>
    </w:rPr>
  </w:style>
  <w:style w:type="paragraph" w:styleId="Tijeloteksta">
    <w:name w:val="Body Text"/>
    <w:basedOn w:val="Normal"/>
    <w:link w:val="TijelotekstaChar"/>
    <w:uiPriority w:val="1"/>
    <w:qFormat/>
    <w:pPr>
      <w:widowControl w:val="false"/>
      <w:autoSpaceDE w:val="false"/>
      <w:autoSpaceDN w:val="false"/>
      <w:spacing w:after="0" w:line="240" w:lineRule="auto"/>
      <w:ind w:left="743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TijelotekstaChar" w:customStyle="1">
    <w:name w:val="Tijelo teksta Char"/>
    <w:basedOn w:val="Zadanifontodlomka"/>
    <w:link w:val="BodyText"/>
    <w:uiPriority w:val="1"/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iperveza">
    <w:name w:val="Hyperlink"/>
    <w:basedOn w:val="Zadanifontodlomka"/>
    <w:uiPriority w:val="99"/>
    <w:unhideWhenUsed/>
    <w:rPr>
      <w:color w:val="467886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erijeenospominjanje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PodnojeChar" w:customStyle="1">
    <w:name w:val="Podnožje Char"/>
    <w:basedOn w:val="Zadanifontodlomka"/>
    <w:link w:val="Footer"/>
    <w:uiPriority w:val="99"/>
    <w:rPr/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7</Pages>
  <Words>1936</Words>
  <Characters>11041</Characters>
  <Application>Microsoft Office Word</Application>
  <DocSecurity>0</DocSecurity>
  <Lines>92</Lines>
  <Paragraphs>25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Latica Garčin Psiholog</dc:creator>
  <cp:keywords/>
  <dc:description/>
  <cp:lastModifiedBy>DV Latica Garčin Psiholog</cp:lastModifiedBy>
  <cp:revision>4</cp:revision>
  <dcterms:created xsi:type="dcterms:W3CDTF">2026-04-01T09:14:00Z</dcterms:created>
  <dcterms:modified xsi:type="dcterms:W3CDTF">2026-04-08T05:52:00Z</dcterms:modified>
</cp:coreProperties>
</file>