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27f906c51448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51548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DJEČJI VRTIĆ LATICA GARČIN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180.841,78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230.717,85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209.535,09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227.188,61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3.529,24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3.529,24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Vidljiv je višak prihoda od poslovanja u iznosu od 10.550,84 €.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927,71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285,4</w:t>
            </w:r>
          </w:p>
        </w:tc>
      </w:tr>
    </w:tbl>
    <w:p>
      <w:pPr>
        <w:spacing w:before="0" w:after="0"/>
      </w:pPr>
    </w:p>
    <w:p>
      <w:r>
        <w:t xml:space="preserve">Ostali nespomenuti prihodi se odnose na prihode od sufinanciranja cijene usluge vrtića od strane roditelja, i Općine Donji Andrijevci, koji sufinanciraju cijenu troška vrtića djetetu sa područja svoje općine.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1.181,86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240,7</w:t>
            </w:r>
          </w:p>
        </w:tc>
      </w:tr>
    </w:tbl>
    <w:p>
      <w:pPr>
        <w:spacing w:before="0" w:after="0"/>
      </w:pPr>
    </w:p>
    <w:p>
      <w:r>
        <w:t xml:space="preserve">Pozicija se povećala uslijed povećane potrebe za dodatnom edukacijom, stručnim dodatnim usavršavanjem i informiranjem potrebnim za izvršavanje poslova pojedinih djelatnika.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3.040,16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5.299,72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174,3</w:t>
            </w:r>
          </w:p>
        </w:tc>
      </w:tr>
    </w:tbl>
    <w:p>
      <w:pPr>
        <w:spacing w:before="0" w:after="0"/>
      </w:pPr>
    </w:p>
    <w:p>
      <w:r>
        <w:t xml:space="preserve">Povećanje rashoda za uredski materijal i ostalih materijala nastalo je uslijed potrebe za zamjenom radi istrošenosti i dotrajalosti postojećih starijih materijala.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647,91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1.287,06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198,6</w:t>
            </w:r>
          </w:p>
        </w:tc>
      </w:tr>
    </w:tbl>
    <w:p>
      <w:pPr>
        <w:spacing w:before="0" w:after="0"/>
      </w:pPr>
    </w:p>
    <w:p>
      <w:r>
        <w:t xml:space="preserve">Pozicija se povećala radi potrebe servisiranja nadzornih kamera dječjeg vrtića kao i zbog potrebe redovnog servisiranja svih klima u vrtiću kako bi se mogle sigurno koristiti u ljetnoj sezoni.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1.669,03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se odnose na dug koji je dospio na samom kraju izvještajnog razdoblja i bit će plaćen u tekućem razdoblju.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9dd0b6a6936436c" /></Relationships>
</file>